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compliance-with-tax-levy-cap"/>
    <w:p>
      <w:pPr>
        <w:pStyle w:val="Heading1"/>
      </w:pPr>
      <w:r>
        <w:t xml:space="preserve">Compliance with Tax Levy Cap</w:t>
      </w:r>
    </w:p>
    <w:bookmarkStart w:id="21" w:name="opposition-to-projects-exceeding-tax-cap"/>
    <w:p>
      <w:pPr>
        <w:pStyle w:val="Heading3"/>
      </w:pPr>
      <w:r>
        <w:t xml:space="preserve">Opposition to projects exceeding tax cap</w:t>
      </w:r>
    </w:p>
    <w:p>
      <w:pPr>
        <w:pStyle w:val="FirstParagraph"/>
      </w:pPr>
      <w:r>
        <w:rPr>
          <w:bCs/>
          <w:b/>
        </w:rPr>
        <w:t xml:space="preserve">April 2013: Nick LaLota Expressed Hope To Stabilize Property Taxes In Amityville</w:t>
      </w:r>
      <w:r>
        <w:t xml:space="preserve"> </w:t>
      </w:r>
      <w:r>
        <w:t xml:space="preserve">According to Newsday (New York),</w:t>
      </w:r>
      <w:r>
        <w:t xml:space="preserve"> </w:t>
      </w:r>
      <w:r>
        <w:t xml:space="preserve">“</w:t>
      </w:r>
      <w:r>
        <w:t xml:space="preserve">We ran on a campaign to stabilize property taxes and we’re committed to that.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0">
        <w:r>
          <w:rPr>
            <w:rStyle w:val="Hyperlink"/>
          </w:rPr>
          <w:t xml:space="preserve">4/8/13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584X-87F1-JBKF-V1YX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584X-87F1-JBKF-V1YX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2026-01-27T02:09:06Z</dcterms:created>
  <dcterms:modified xsi:type="dcterms:W3CDTF">2026-01-27T02:09:06Z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