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ositions-on-housing-policy"/>
    <w:p>
      <w:pPr>
        <w:pStyle w:val="Heading1"/>
      </w:pPr>
      <w:r>
        <w:t xml:space="preserve">nick lalota’s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Compliance with Tax Levy Cap</w:t>
      </w:r>
    </w:p>
    <w:p>
      <w:pPr>
        <w:numPr>
          <w:ilvl w:val="0"/>
          <w:numId w:val="1001"/>
        </w:numPr>
        <w:pStyle w:val="Compact"/>
      </w:pPr>
      <w:r>
        <w:t xml:space="preserve">Affordable Housing Initiatives</w:t>
      </w:r>
    </w:p>
    <w:p>
      <w:pPr>
        <w:numPr>
          <w:ilvl w:val="0"/>
          <w:numId w:val="1001"/>
        </w:numPr>
        <w:pStyle w:val="Compact"/>
      </w:pPr>
      <w:r>
        <w:t xml:space="preserve">Housing Policy and Taxation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