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a6a9f765da091f9f0a61a21c9ad713fb4445a8"/>
    <w:p>
      <w:pPr>
        <w:pStyle w:val="Heading1"/>
      </w:pPr>
      <w:r>
        <w:t xml:space="preserve">Legislative Efforts and Advocacy for People with Disabilities</w:t>
      </w:r>
    </w:p>
    <w:bookmarkStart w:id="22" w:name="sponsored-and-supported-legislation"/>
    <w:p>
      <w:pPr>
        <w:pStyle w:val="Heading3"/>
      </w:pPr>
      <w:r>
        <w:t xml:space="preserve">Sponsored and Supported Legislation</w:t>
      </w:r>
    </w:p>
    <w:bookmarkStart w:id="21" w:name="accessibility-infrastructure-legislation"/>
    <w:p>
      <w:pPr>
        <w:pStyle w:val="Heading4"/>
      </w:pPr>
      <w:r>
        <w:t xml:space="preserve">Accessibility infrastructure legislation</w:t>
      </w:r>
    </w:p>
    <w:p>
      <w:pPr>
        <w:pStyle w:val="FirstParagraph"/>
      </w:pPr>
      <w:r>
        <w:rPr>
          <w:bCs/>
          <w:b/>
        </w:rPr>
        <w:t xml:space="preserve">2014: Trustee Nick LaLota Noted $100,000 Estimated ADA Compliance Cost For Amityville Village Hall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LaLota noted that the village will also have to spend an estimated $100,000 to bring the building into compliance with the Americans With Disabilities Act.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8/15/14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CX7-VW11-JBKF-V20V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CX7-VW11-JBKF-V20V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