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personal-wealth"/>
    <w:p>
      <w:pPr>
        <w:pStyle w:val="Heading1"/>
      </w:pPr>
      <w:r>
        <w:t xml:space="preserve">Nick Begich’s Personal Wealth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Sources of Nick Begich’s Wealth</w:t>
      </w:r>
    </w:p>
    <w:p>
      <w:pPr>
        <w:numPr>
          <w:ilvl w:val="0"/>
          <w:numId w:val="1001"/>
        </w:numPr>
        <w:pStyle w:val="Compact"/>
      </w:pPr>
      <w:r>
        <w:t xml:space="preserve">Financial Disclosures and Public Records</w:t>
      </w:r>
    </w:p>
    <w:p>
      <w:pPr>
        <w:numPr>
          <w:ilvl w:val="0"/>
          <w:numId w:val="1001"/>
        </w:numPr>
        <w:pStyle w:val="Compact"/>
      </w:pPr>
      <w:r>
        <w:t xml:space="preserve">Controversies and Public Perception Surrounding Wealth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