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59c349ae21f715af611ca088d2783e2c93b222"/>
    <w:p>
      <w:pPr>
        <w:pStyle w:val="Heading1"/>
      </w:pPr>
      <w:r>
        <w:t xml:space="preserve">Resource Development and Environmental Policy</w:t>
      </w:r>
    </w:p>
    <w:bookmarkStart w:id="22" w:name="critical-minerals-and-the-arctic"/>
    <w:p>
      <w:pPr>
        <w:pStyle w:val="Heading3"/>
      </w:pPr>
      <w:r>
        <w:t xml:space="preserve">Critical Minerals and the Arctic</w:t>
      </w:r>
    </w:p>
    <w:bookmarkStart w:id="21" w:name="advocacy-on-arctic-policy"/>
    <w:p>
      <w:pPr>
        <w:pStyle w:val="Heading4"/>
      </w:pPr>
      <w:r>
        <w:t xml:space="preserve">Advocacy on Arctic Policy</w:t>
      </w:r>
    </w:p>
    <w:p>
      <w:pPr>
        <w:pStyle w:val="FirstParagraph"/>
      </w:pPr>
      <w:r>
        <w:rPr>
          <w:bCs/>
          <w:b/>
        </w:rPr>
        <w:t xml:space="preserve">2023: Nick Begich III Expressed Intent To Focus On Alaska’s Role In Critical Minerals</w:t>
      </w:r>
      <w:r>
        <w:t xml:space="preserve"> </w:t>
      </w:r>
      <w:r>
        <w:t xml:space="preserve">According to Kodiak Daily Mirror (Alaska),</w:t>
      </w:r>
      <w:r>
        <w:t xml:space="preserve"> </w:t>
      </w:r>
      <w:r>
        <w:t xml:space="preserve">“</w:t>
      </w:r>
      <w:r>
        <w:t xml:space="preserve">His vision, he said, is Alaska as a land of opportunity — home to critical mineral deposits used in renewable energy. Those deposits could be mined as an alternative to Chinese sources.</w:t>
      </w:r>
      <w:r>
        <w:t xml:space="preserve">”</w:t>
      </w:r>
      <w:r>
        <w:t xml:space="preserve"> </w:t>
      </w:r>
      <w:r>
        <w:t xml:space="preserve">[Kodiak Daily Mirror (Alaska),</w:t>
      </w:r>
      <w:r>
        <w:t xml:space="preserve"> </w:t>
      </w:r>
      <w:hyperlink r:id="rId20">
        <w:r>
          <w:rPr>
            <w:rStyle w:val="Hyperlink"/>
          </w:rPr>
          <w:t xml:space="preserve">7/17/23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8R2-MS71-DXVP-T3N8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8R2-MS71-DXVP-T3N8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2026-01-27T02:09:11Z</dcterms:created>
  <dcterms:modified xsi:type="dcterms:W3CDTF">2026-01-27T02:09:11Z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