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ublic-sector-career"/>
    <w:p>
      <w:pPr>
        <w:pStyle w:val="Heading1"/>
      </w:pPr>
      <w:r>
        <w:t xml:space="preserve">Nick Begich’s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Electoral Campaigns and Political Positions</w:t>
      </w:r>
    </w:p>
    <w:p>
      <w:pPr>
        <w:numPr>
          <w:ilvl w:val="0"/>
          <w:numId w:val="1001"/>
        </w:numPr>
        <w:pStyle w:val="Compact"/>
      </w:pPr>
      <w:r>
        <w:t xml:space="preserve">Policy Advocacy and Legislative Positions</w:t>
      </w:r>
    </w:p>
    <w:p>
      <w:pPr>
        <w:numPr>
          <w:ilvl w:val="0"/>
          <w:numId w:val="1001"/>
        </w:numPr>
        <w:pStyle w:val="Compact"/>
      </w:pPr>
      <w:r>
        <w:t xml:space="preserve">Constituency Relations and Public Service</w:t>
      </w:r>
    </w:p>
    <w:p>
      <w:pPr>
        <w:numPr>
          <w:ilvl w:val="0"/>
          <w:numId w:val="1001"/>
        </w:numPr>
        <w:pStyle w:val="Compact"/>
      </w:pPr>
      <w:r>
        <w:t xml:space="preserve">Public Statements and Media Relations</w:t>
      </w:r>
    </w:p>
    <w:p>
      <w:pPr>
        <w:numPr>
          <w:ilvl w:val="0"/>
          <w:numId w:val="1001"/>
        </w:numPr>
        <w:pStyle w:val="Compact"/>
      </w:pPr>
      <w:r>
        <w:t xml:space="preserve">Debate Participation and Public Appearances</w:t>
      </w:r>
    </w:p>
    <w:p>
      <w:pPr>
        <w:numPr>
          <w:ilvl w:val="0"/>
          <w:numId w:val="1001"/>
        </w:numPr>
        <w:pStyle w:val="Compact"/>
      </w:pPr>
      <w:r>
        <w:t xml:space="preserve">Professional Achievements and Activities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