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1e934a95eb49a4b3a30fc5ccdf5ea470571e2d"/>
    <w:p>
      <w:pPr>
        <w:pStyle w:val="Heading1"/>
      </w:pPr>
      <w:r>
        <w:t xml:space="preserve">Nick Begich’s Positions On Banking and Finance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Spending, Inflation, and Fiscal Policy</w:t>
      </w:r>
    </w:p>
    <w:p>
      <w:pPr>
        <w:numPr>
          <w:ilvl w:val="0"/>
          <w:numId w:val="1001"/>
        </w:numPr>
        <w:pStyle w:val="Compact"/>
      </w:pPr>
      <w:r>
        <w:t xml:space="preserve">Banking System Reform and Regulatory Policy</w:t>
      </w:r>
    </w:p>
    <w:p>
      <w:pPr>
        <w:numPr>
          <w:ilvl w:val="0"/>
          <w:numId w:val="1001"/>
        </w:numPr>
        <w:pStyle w:val="Compact"/>
      </w:pPr>
      <w:r>
        <w:t xml:space="preserve">Private Sector and Economic Innovation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