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campaign-finance-and-political-funding"/>
    <w:p>
      <w:pPr>
        <w:pStyle w:val="Heading1"/>
      </w:pPr>
      <w:r>
        <w:t xml:space="preserve">Campaign Finance and Political Funding</w:t>
      </w:r>
    </w:p>
    <w:bookmarkStart w:id="21" w:name="Xa2acc9a0f613ceef0b043559898b6edc3f30285"/>
    <w:p>
      <w:pPr>
        <w:pStyle w:val="Heading3"/>
      </w:pPr>
      <w:r>
        <w:t xml:space="preserve">Fundraising totals for election campaigns</w:t>
      </w:r>
    </w:p>
    <w:p>
      <w:pPr>
        <w:pStyle w:val="FirstParagraph"/>
      </w:pPr>
      <w:r>
        <w:rPr>
          <w:bCs/>
          <w:b/>
        </w:rPr>
        <w:t xml:space="preserve">October 2018: Salazar Had Not Released Fundraising Numbers But Reported Steady Growth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La campaña de Salazar no ha dado a conocer cifras de recaudación de fondos, pero indicó que la entrada de fondos ha sido</w:t>
      </w:r>
      <w:r>
        <w:t xml:space="preserve"> </w:t>
      </w:r>
      <w:r>
        <w:t xml:space="preserve">‘</w:t>
      </w:r>
      <w:r>
        <w:t xml:space="preserve">constante y va en aumento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0">
        <w:r>
          <w:rPr>
            <w:rStyle w:val="Hyperlink"/>
          </w:rPr>
          <w:t xml:space="preserve">10/11/18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TG4-2DY1-DYJM-M4KB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TG4-2DY1-DYJM-M4KB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