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personal-wealth"/>
    <w:p>
      <w:pPr>
        <w:pStyle w:val="Heading1"/>
      </w:pPr>
      <w:r>
        <w:t xml:space="preserve">María Salazar’s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Assets, Liabilities, and Financial Disclosures</w:t>
      </w:r>
    </w:p>
    <w:p>
      <w:pPr>
        <w:numPr>
          <w:ilvl w:val="0"/>
          <w:numId w:val="1001"/>
        </w:numPr>
        <w:pStyle w:val="Compact"/>
      </w:pPr>
      <w:r>
        <w:t xml:space="preserve">Lifestyle, Personal Circumstances, and Notable Events Affecting Wealth</w:t>
      </w:r>
    </w:p>
    <w:p>
      <w:pPr>
        <w:numPr>
          <w:ilvl w:val="0"/>
          <w:numId w:val="1001"/>
        </w:numPr>
        <w:pStyle w:val="Compact"/>
      </w:pPr>
      <w:r>
        <w:t xml:space="preserve">Campaign Finance and Political Funding</w:t>
      </w:r>
    </w:p>
    <w:p>
      <w:pPr>
        <w:numPr>
          <w:ilvl w:val="0"/>
          <w:numId w:val="1001"/>
        </w:numPr>
        <w:pStyle w:val="Compact"/>
      </w:pPr>
      <w:r>
        <w:t xml:space="preserve">Income Sources and Earnings</w:t>
      </w:r>
    </w:p>
    <w:p>
      <w:pPr>
        <w:numPr>
          <w:ilvl w:val="0"/>
          <w:numId w:val="1001"/>
        </w:numPr>
        <w:pStyle w:val="Compact"/>
      </w:pPr>
      <w:r>
        <w:t xml:space="preserve">Public Service Requirements and Financial Sacrifices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