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d31c792a702b2aea8bc66dd51fb58e3a15e97db"/>
    <w:p>
      <w:pPr>
        <w:pStyle w:val="Heading1"/>
      </w:pPr>
      <w:r>
        <w:t xml:space="preserve">Personal Litigation Involving María Salazar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Civil and Family Litigation</w:t>
      </w:r>
    </w:p>
    <w:p>
      <w:pPr>
        <w:numPr>
          <w:ilvl w:val="0"/>
          <w:numId w:val="1001"/>
        </w:numPr>
        <w:pStyle w:val="Compact"/>
      </w:pPr>
      <w:r>
        <w:t xml:space="preserve">Other Significant Personal Legal Matters</w:t>
      </w:r>
    </w:p>
    <w:p>
      <w:pPr>
        <w:numPr>
          <w:ilvl w:val="0"/>
          <w:numId w:val="1001"/>
        </w:numPr>
        <w:pStyle w:val="Compact"/>
      </w:pPr>
      <w:r>
        <w:t xml:space="preserve">Litigation Associated with Political Career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