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4bb53e2f2c891ee6a9c7e5af0207b8c3085461d"/>
    <w:p>
      <w:pPr>
        <w:pStyle w:val="Heading1"/>
      </w:pPr>
      <w:r>
        <w:t xml:space="preserve">Public Statements and Rhetoric on LGBTQ Issues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Salazar’s repeated statements claiming to be an ally of the LGBTQ community may be undermined by votes interpreted as exclusionary, leaving her open to accusations of hypocrisy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High-profile local opinion writers have accused Salazar of sending a message to LGBTQ+ constituents that their families are less valued, aligning her with broader Republican attacks on LGBTQ rights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Statements from advocacy leaders highlight that Salazar is aware of her LGBTQ constituents and personal connections, yet critics question whether her actions match her rhetoric (</w:t>
      </w:r>
      <w:hyperlink r:id="rId22">
        <w:r>
          <w:rPr>
            <w:rStyle w:val="Hyperlink"/>
          </w:rPr>
          <w:t xml:space="preserve">South Florida Sun-Sentinel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Coverage in both English and Spanish-language media risks amplifying negative perceptions about her support for LGBTQ equality among diverse voter groups (</w:t>
      </w:r>
      <w:hyperlink r:id="rId21">
        <w:r>
          <w:rPr>
            <w:rStyle w:val="Hyperlink"/>
          </w:rPr>
          <w:t xml:space="preserve">El Nuevo Herald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Orlando Sentinel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Public scrutiny of her votes in the context of broader Republican legislative actions on LGBTQ rights could dampen her credibility with moderate and LGBTQ-friendly voters (</w:t>
      </w:r>
      <w:hyperlink r:id="rId20">
        <w:r>
          <w:rPr>
            <w:rStyle w:val="Hyperlink"/>
          </w:rPr>
          <w:t xml:space="preserve">Miami Herald</w:t>
        </w:r>
      </w:hyperlink>
      <w:r>
        <w:t xml:space="preserve">).</w:t>
      </w:r>
    </w:p>
    <w:bookmarkEnd w:id="24"/>
    <w:bookmarkStart w:id="30" w:name="official-statements-and-press-releases"/>
    <w:p>
      <w:pPr>
        <w:pStyle w:val="Heading3"/>
      </w:pPr>
      <w:r>
        <w:t xml:space="preserve">Official Statements and Press Releases</w:t>
      </w:r>
    </w:p>
    <w:bookmarkStart w:id="29" w:name="comments-on-lgbtq-constituents"/>
    <w:p>
      <w:pPr>
        <w:pStyle w:val="Heading4"/>
      </w:pPr>
      <w:r>
        <w:t xml:space="preserve">Comments on LGBTQ Constituents</w:t>
      </w:r>
    </w:p>
    <w:p>
      <w:pPr>
        <w:pStyle w:val="FirstParagraph"/>
      </w:pPr>
      <w:r>
        <w:rPr>
          <w:bCs/>
          <w:b/>
        </w:rPr>
        <w:t xml:space="preserve">Maria Salazar Asserted Support For LGBTQ Community In Statement On Respect for Marriage Act Vote, July 2022</w:t>
      </w:r>
      <w:r>
        <w:t xml:space="preserve"> </w:t>
      </w:r>
      <w:r>
        <w:t xml:space="preserve">According to South Florida Sun-Sentinel,</w:t>
      </w:r>
      <w:r>
        <w:t xml:space="preserve"> </w:t>
      </w:r>
      <w:r>
        <w:t xml:space="preserve">“</w:t>
      </w:r>
      <w:r>
        <w:t xml:space="preserve">The Respect for Marriage Act confirms already existing law, requiring states to recognize other states’ marriages. I have always been an ally to the LGBTQ community and will remain so,</w:t>
      </w:r>
      <w:r>
        <w:t xml:space="preserve">”</w:t>
      </w:r>
      <w:r>
        <w:t xml:space="preserve"> </w:t>
      </w:r>
      <w:r>
        <w:t xml:space="preserve">Salazar said in a statement last week. [South Florida Sun-Sentinel,</w:t>
      </w:r>
      <w:r>
        <w:t xml:space="preserve"> </w:t>
      </w:r>
      <w:hyperlink r:id="rId25">
        <w:r>
          <w:rPr>
            <w:rStyle w:val="Hyperlink"/>
          </w:rPr>
          <w:t xml:space="preserve">7/31/22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Stephen Gaskill Claimed Maria Salazar Knew She Had LGBTQ Constituents And Friends, July 2022</w:t>
      </w:r>
      <w:r>
        <w:t xml:space="preserve"> </w:t>
      </w:r>
      <w:r>
        <w:t xml:space="preserve">According to South Florida Sun-Sentinel,</w:t>
      </w:r>
      <w:r>
        <w:t xml:space="preserve"> </w:t>
      </w:r>
      <w:r>
        <w:t xml:space="preserve">“</w:t>
      </w:r>
      <w:r>
        <w:t xml:space="preserve">Gaskill said Diaz-Balart, Gimenez, Mast and Salazar</w:t>
      </w:r>
      <w:r>
        <w:t xml:space="preserve"> </w:t>
      </w:r>
      <w:r>
        <w:t xml:space="preserve">‘</w:t>
      </w:r>
      <w:r>
        <w:t xml:space="preserve">know they have LGBTQ+ constituents. And they all have LGBTQ+ friends and family members.</w:t>
      </w:r>
      <w:r>
        <w:t xml:space="preserve">’</w:t>
      </w:r>
      <w:r>
        <w:t xml:space="preserve">”</w:t>
      </w:r>
      <w:r>
        <w:t xml:space="preserve"> </w:t>
      </w:r>
      <w:r>
        <w:t xml:space="preserve">[South Florida Sun-Sentinel,</w:t>
      </w:r>
      <w:r>
        <w:t xml:space="preserve"> </w:t>
      </w:r>
      <w:hyperlink r:id="rId25">
        <w:r>
          <w:rPr>
            <w:rStyle w:val="Hyperlink"/>
          </w:rPr>
          <w:t xml:space="preserve">7/31/22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2022: Salazar Stated Support for LGBTQ Community</w:t>
      </w:r>
      <w:r>
        <w:t xml:space="preserve"> </w:t>
      </w:r>
      <w:r>
        <w:t xml:space="preserve">According to Orlando Sentinel,</w:t>
      </w:r>
      <w:r>
        <w:t xml:space="preserve"> </w:t>
      </w:r>
      <w:r>
        <w:t xml:space="preserve">‘</w:t>
      </w:r>
      <w:r>
        <w:t xml:space="preserve">“</w:t>
      </w:r>
      <w:r>
        <w:t xml:space="preserve">The Respect for Marriage Act confirms already existing law, requiring states to recognize other states’ marriages. I have always been an ally to the LGBTQ community and will remain so,</w:t>
      </w:r>
      <w:r>
        <w:t xml:space="preserve">”</w:t>
      </w:r>
      <w:r>
        <w:t xml:space="preserve"> </w:t>
      </w:r>
      <w:r>
        <w:t xml:space="preserve">Salazar said in a statement last week.</w:t>
      </w:r>
      <w:r>
        <w:t xml:space="preserve">’</w:t>
      </w:r>
      <w:r>
        <w:t xml:space="preserve"> </w:t>
      </w:r>
      <w:r>
        <w:t xml:space="preserve">[Orlando Sentinel,</w:t>
      </w:r>
      <w:r>
        <w:t xml:space="preserve"> </w:t>
      </w:r>
      <w:hyperlink r:id="rId26">
        <w:r>
          <w:rPr>
            <w:rStyle w:val="Hyperlink"/>
          </w:rPr>
          <w:t xml:space="preserve">8/1/22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Fabiola Santiago Asserted María Salazar’s Vote Sent Exclusionary Message to LGBTQ+ Community</w:t>
      </w:r>
      <w:r>
        <w:t xml:space="preserve"> </w:t>
      </w:r>
      <w:r>
        <w:t xml:space="preserve">According to an opinion piece by Fabiola Santiago in Miami Herald,</w:t>
      </w:r>
      <w:r>
        <w:t xml:space="preserve"> </w:t>
      </w:r>
      <w:r>
        <w:t xml:space="preserve">“</w:t>
      </w:r>
      <w:r>
        <w:t xml:space="preserve">Salazar and Diaz-Balart’s votes sent a message to the gay community that, aligned with the attacks from Gov. Ron DeSantis and the Republican-dominant Legislature, their families are not as valuable as heterosexual ones.</w:t>
      </w:r>
      <w:r>
        <w:t xml:space="preserve">”</w:t>
      </w:r>
      <w:r>
        <w:t xml:space="preserve"> </w:t>
      </w:r>
      <w:r>
        <w:t xml:space="preserve">[Fabiola Santiago - Miami Herald,</w:t>
      </w:r>
      <w:r>
        <w:t xml:space="preserve"> </w:t>
      </w:r>
      <w:hyperlink r:id="rId27">
        <w:r>
          <w:rPr>
            <w:rStyle w:val="Hyperlink"/>
          </w:rPr>
          <w:t xml:space="preserve">12/9/22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Fabiola Santiago Asserted María Salazar Sent Negative Message to LGBTQ+ Community With Vote</w:t>
      </w:r>
      <w:r>
        <w:t xml:space="preserve"> </w:t>
      </w:r>
      <w:r>
        <w:t xml:space="preserve">According to an opinion piece by Fabiola Santiago in El Nuevo Herald,</w:t>
      </w:r>
      <w:r>
        <w:t xml:space="preserve"> </w:t>
      </w:r>
      <w:r>
        <w:t xml:space="preserve">“</w:t>
      </w:r>
      <w:r>
        <w:t xml:space="preserve">Los votos de Salazar y Díaz-Balart enviaron el mensaje a la comunidad gay de que, junto con los ataques del gobernador Ron DeSantis y la Legislatura predominantemente republicana, sus familias no son tan valiosas como las heterosexuales.</w:t>
      </w:r>
      <w:r>
        <w:t xml:space="preserve">”</w:t>
      </w:r>
      <w:r>
        <w:t xml:space="preserve"> </w:t>
      </w:r>
      <w:r>
        <w:t xml:space="preserve">[Fabiola Santiago - El Nuevo Herald,</w:t>
      </w:r>
      <w:r>
        <w:t xml:space="preserve"> </w:t>
      </w:r>
      <w:hyperlink r:id="rId28">
        <w:r>
          <w:rPr>
            <w:rStyle w:val="Hyperlink"/>
          </w:rPr>
          <w:t xml:space="preserve">12/12/22</w:t>
        </w:r>
      </w:hyperlink>
      <w:r>
        <w:t xml:space="preserve">]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62C-1XF1-JBM5-R1PS-00000-00" TargetMode="External" /><Relationship Type="http://schemas.openxmlformats.org/officeDocument/2006/relationships/hyperlink" Id="rId25" Target="https://advance.lexis.com/api/document?collection=news&amp;id=urn:contentItem:662C-1XF1-JBM5-R1PS-00000-00&amp;context=1519360" TargetMode="External" /><Relationship Type="http://schemas.openxmlformats.org/officeDocument/2006/relationships/hyperlink" Id="rId23" Target="https://advance.lexis.com/api/document?collection=news&amp;id=urn:contentItem:662C-HN71-DY37-F224-00000-00" TargetMode="External" /><Relationship Type="http://schemas.openxmlformats.org/officeDocument/2006/relationships/hyperlink" Id="rId26" Target="https://advance.lexis.com/api/document?collection=news&amp;id=urn:contentItem:662C-HN71-DY37-F224-00000-00&amp;context=1519360" TargetMode="External" /><Relationship Type="http://schemas.openxmlformats.org/officeDocument/2006/relationships/hyperlink" Id="rId20" Target="https://advance.lexis.com/api/document?collection=news&amp;id=urn:contentItem:6724-JGF1-DYJM-M2F3-00000-00" TargetMode="External" /><Relationship Type="http://schemas.openxmlformats.org/officeDocument/2006/relationships/hyperlink" Id="rId27" Target="https://advance.lexis.com/api/document?collection=news&amp;id=urn:contentItem:6724-JGF1-DYJM-M2F3-00000-00&amp;context=1519360" TargetMode="External" /><Relationship Type="http://schemas.openxmlformats.org/officeDocument/2006/relationships/hyperlink" Id="rId21" Target="https://advance.lexis.com/api/document?collection=news&amp;id=urn:contentItem:672T-4F41-JC3J-X2X1-00000-00" TargetMode="External" /><Relationship Type="http://schemas.openxmlformats.org/officeDocument/2006/relationships/hyperlink" Id="rId28" Target="https://advance.lexis.com/api/document?collection=news&amp;id=urn:contentItem:672T-4F41-JC3J-X2X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62C-1XF1-JBM5-R1PS-00000-00" TargetMode="External" /><Relationship Type="http://schemas.openxmlformats.org/officeDocument/2006/relationships/hyperlink" Id="rId25" Target="https://advance.lexis.com/api/document?collection=news&amp;id=urn:contentItem:662C-1XF1-JBM5-R1PS-00000-00&amp;context=1519360" TargetMode="External" /><Relationship Type="http://schemas.openxmlformats.org/officeDocument/2006/relationships/hyperlink" Id="rId23" Target="https://advance.lexis.com/api/document?collection=news&amp;id=urn:contentItem:662C-HN71-DY37-F224-00000-00" TargetMode="External" /><Relationship Type="http://schemas.openxmlformats.org/officeDocument/2006/relationships/hyperlink" Id="rId26" Target="https://advance.lexis.com/api/document?collection=news&amp;id=urn:contentItem:662C-HN71-DY37-F224-00000-00&amp;context=1519360" TargetMode="External" /><Relationship Type="http://schemas.openxmlformats.org/officeDocument/2006/relationships/hyperlink" Id="rId20" Target="https://advance.lexis.com/api/document?collection=news&amp;id=urn:contentItem:6724-JGF1-DYJM-M2F3-00000-00" TargetMode="External" /><Relationship Type="http://schemas.openxmlformats.org/officeDocument/2006/relationships/hyperlink" Id="rId27" Target="https://advance.lexis.com/api/document?collection=news&amp;id=urn:contentItem:6724-JGF1-DYJM-M2F3-00000-00&amp;context=1519360" TargetMode="External" /><Relationship Type="http://schemas.openxmlformats.org/officeDocument/2006/relationships/hyperlink" Id="rId21" Target="https://advance.lexis.com/api/document?collection=news&amp;id=urn:contentItem:672T-4F41-JC3J-X2X1-00000-00" TargetMode="External" /><Relationship Type="http://schemas.openxmlformats.org/officeDocument/2006/relationships/hyperlink" Id="rId28" Target="https://advance.lexis.com/api/document?collection=news&amp;id=urn:contentItem:672T-4F41-JC3J-X2X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