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839e2831ad6c40b393a5dcdcbe285cc927a2c40"/>
    <w:p>
      <w:pPr>
        <w:pStyle w:val="Heading1"/>
      </w:pPr>
      <w:r>
        <w:t xml:space="preserve">María Salazar’s Positions On Immigration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Immigrant Integration and Access to Benefits</w:t>
      </w:r>
    </w:p>
    <w:p>
      <w:pPr>
        <w:numPr>
          <w:ilvl w:val="0"/>
          <w:numId w:val="1001"/>
        </w:numPr>
        <w:pStyle w:val="Compact"/>
      </w:pPr>
      <w:r>
        <w:t xml:space="preserve">Stance on Border Security and Enforcement</w:t>
      </w:r>
    </w:p>
    <w:p>
      <w:pPr>
        <w:numPr>
          <w:ilvl w:val="0"/>
          <w:numId w:val="1001"/>
        </w:numPr>
        <w:pStyle w:val="Compact"/>
      </w:pPr>
      <w:r>
        <w:t xml:space="preserve">Comprehensive Immigration Reform Legislation and Proposals</w:t>
      </w:r>
    </w:p>
    <w:p>
      <w:pPr>
        <w:numPr>
          <w:ilvl w:val="0"/>
          <w:numId w:val="1001"/>
        </w:numPr>
        <w:pStyle w:val="Compact"/>
      </w:pPr>
      <w:r>
        <w:t xml:space="preserve">Community Engagement and Reunification</w:t>
      </w:r>
    </w:p>
    <w:p>
      <w:pPr>
        <w:numPr>
          <w:ilvl w:val="0"/>
          <w:numId w:val="1001"/>
        </w:numPr>
        <w:pStyle w:val="Compact"/>
      </w:pPr>
      <w:r>
        <w:t xml:space="preserve">Asylum and Refugee Policies</w:t>
      </w:r>
    </w:p>
    <w:p>
      <w:pPr>
        <w:numPr>
          <w:ilvl w:val="0"/>
          <w:numId w:val="1001"/>
        </w:numPr>
        <w:pStyle w:val="Compact"/>
      </w:pPr>
      <w:r>
        <w:t xml:space="preserve">Education and Workforce Participation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2026-01-27T02:10:05Z</dcterms:created>
  <dcterms:modified xsi:type="dcterms:W3CDTF">2026-01-27T02:10:05Z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