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a72594e1fa31a38afb29f7149378ead5a2b850"/>
    <w:p>
      <w:pPr>
        <w:pStyle w:val="Heading1"/>
      </w:pPr>
      <w:r>
        <w:t xml:space="preserve">Advocacy, Endorsements, and Political Alliances</w:t>
      </w:r>
    </w:p>
    <w:bookmarkStart w:id="22" w:name="endorsements-and-ratings"/>
    <w:p>
      <w:pPr>
        <w:pStyle w:val="Heading3"/>
      </w:pPr>
      <w:r>
        <w:t xml:space="preserve">Endorsements and Ratings</w:t>
      </w:r>
    </w:p>
    <w:bookmarkStart w:id="21" w:name="support"/>
    <w:p>
      <w:pPr>
        <w:pStyle w:val="Heading4"/>
      </w:pPr>
      <w:r>
        <w:t xml:space="preserve">Support</w:t>
      </w:r>
    </w:p>
    <w:p>
      <w:pPr>
        <w:pStyle w:val="FirstParagraph"/>
      </w:pPr>
      <w:r>
        <w:rPr>
          <w:bCs/>
          <w:b/>
        </w:rPr>
        <w:t xml:space="preserve">Salazar Opposed Accepting NRA Money In 2018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said she would not accept money from the National Rifle Association, but that she would support the organization’s funding of early intervention centers.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10/5/18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F4-6XX1-DYJM-M49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F4-6XX1-DYJM-M49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