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b2029b62fe49547c5870ae41c3e409aea7ef22b"/>
    <w:p>
      <w:pPr>
        <w:pStyle w:val="Heading1"/>
      </w:pPr>
      <w:r>
        <w:t xml:space="preserve">María Salazar’s Positions On Civil Rights and Liberties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Statements and Engagements on Broader Civil Liberties</w:t>
      </w:r>
    </w:p>
    <w:p>
      <w:pPr>
        <w:numPr>
          <w:ilvl w:val="0"/>
          <w:numId w:val="1001"/>
        </w:numPr>
        <w:pStyle w:val="Compact"/>
      </w:pPr>
      <w:r>
        <w:t xml:space="preserve">Voting Record and Stances on Key Civil Rights Policies</w:t>
      </w:r>
    </w:p>
    <w:p>
      <w:pPr>
        <w:numPr>
          <w:ilvl w:val="0"/>
          <w:numId w:val="1001"/>
        </w:numPr>
        <w:pStyle w:val="Compact"/>
      </w:pPr>
      <w:r>
        <w:t xml:space="preserve">Immigration, Refugee, and Asylum Policies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