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childhood-education"/>
    <w:p>
      <w:pPr>
        <w:pStyle w:val="Heading1"/>
      </w:pPr>
      <w:r>
        <w:t xml:space="preserve">María Salazar’s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Early Life</w:t>
      </w:r>
    </w:p>
    <w:p>
      <w:pPr>
        <w:numPr>
          <w:ilvl w:val="0"/>
          <w:numId w:val="1001"/>
        </w:numPr>
        <w:pStyle w:val="Compact"/>
      </w:pPr>
      <w:r>
        <w:t xml:space="preserve">Higher Education and Career Foundations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