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maría-salazars-public-sector-career"/>
    <w:p>
      <w:pPr>
        <w:pStyle w:val="Heading1"/>
      </w:pPr>
      <w:r>
        <w:t xml:space="preserve">María Salazar’s Public Sector Career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Congressional Service and Electoral History</w:t>
      </w:r>
    </w:p>
    <w:p>
      <w:pPr>
        <w:numPr>
          <w:ilvl w:val="0"/>
          <w:numId w:val="1001"/>
        </w:numPr>
        <w:pStyle w:val="Compact"/>
      </w:pPr>
      <w:r>
        <w:t xml:space="preserve">Legislative Activity and Policy Positions</w:t>
      </w:r>
    </w:p>
    <w:p>
      <w:pPr>
        <w:numPr>
          <w:ilvl w:val="0"/>
          <w:numId w:val="1001"/>
        </w:numPr>
        <w:pStyle w:val="Compact"/>
      </w:pPr>
      <w:r>
        <w:t xml:space="preserve">Public Statements, Controversies, and Media Coverage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