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jobs-immigration-and-workforce-policy"/>
    <w:p>
      <w:pPr>
        <w:pStyle w:val="Heading1"/>
      </w:pPr>
      <w:r>
        <w:t xml:space="preserve">Jobs, Immigration, and Workforce Policy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2021, Salazar stated she was developing a plan to use her salary to help people find jobs, emphasizing her commitment to employment initiatives (</w:t>
      </w:r>
      <w:hyperlink r:id="rId20">
        <w:r>
          <w:rPr>
            <w:rStyle w:val="Hyperlink"/>
          </w:rPr>
          <w:t xml:space="preserve">Miami Herald, 2/26/21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By 2022, Salazar proposed that restitution funds be directed into an American Worker Fund to support workforce training for U.S. citizens (</w:t>
      </w:r>
      <w:hyperlink r:id="rId21">
        <w:r>
          <w:rPr>
            <w:rStyle w:val="Hyperlink"/>
          </w:rPr>
          <w:t xml:space="preserve">Miami Herald, 2/8/22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suggested the concept of charging restitution—suggesting $1,000 a year—for living in the U.S., tying it directly to workforce funding (</w:t>
      </w:r>
      <w:hyperlink r:id="rId21">
        <w:r>
          <w:rPr>
            <w:rStyle w:val="Hyperlink"/>
          </w:rPr>
          <w:t xml:space="preserve">Miami Herald, 2/8/22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July 2024, Salazar emphasized a need for workers in sectors such as agriculture, janitorial services, and construction, highlighting ongoing labor shortages (</w:t>
      </w:r>
      <w:hyperlink r:id="rId22">
        <w:r>
          <w:rPr>
            <w:rStyle w:val="Hyperlink"/>
          </w:rPr>
          <w:t xml:space="preserve">Tampa Bay Times, 7/17/24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potential vulnerability is that specific details and implementation strategies for her proposed workforce initiatives remain unclear, raising questions about their feasibility and impact.</w:t>
      </w:r>
    </w:p>
    <w:bookmarkEnd w:id="23"/>
    <w:bookmarkStart w:id="25" w:name="employment-and-labor-issues"/>
    <w:p>
      <w:pPr>
        <w:pStyle w:val="Heading3"/>
      </w:pPr>
      <w:r>
        <w:t xml:space="preserve">Employment and Labor Issues</w:t>
      </w:r>
    </w:p>
    <w:bookmarkStart w:id="24" w:name="Xaaa9337b9a9a428e5d19034d4f64c0aa3a0e960"/>
    <w:p>
      <w:pPr>
        <w:pStyle w:val="Heading4"/>
      </w:pPr>
      <w:r>
        <w:t xml:space="preserve">Positions on Minimum Wage and Workers’ Rights</w:t>
      </w:r>
    </w:p>
    <w:p>
      <w:pPr>
        <w:pStyle w:val="FirstParagraph"/>
      </w:pPr>
      <w:r>
        <w:rPr>
          <w:bCs/>
          <w:b/>
        </w:rPr>
        <w:t xml:space="preserve">2021: Salazar Said She Was Working On A Plan For Salary To Help People Find Work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She hasn’t figured out how she will spend her salary yet but said whatever she does with the money will help people find work.</w:t>
      </w:r>
      <w:r>
        <w:t xml:space="preserve"> </w:t>
      </w:r>
      <w:r>
        <w:t xml:space="preserve">‘</w:t>
      </w:r>
      <w:r>
        <w:t xml:space="preserve">Right now I’m working on a plan so we can help people get jobs,</w:t>
      </w:r>
      <w:r>
        <w:t xml:space="preserve">’</w:t>
      </w:r>
      <w:r>
        <w:t xml:space="preserve"> </w:t>
      </w:r>
      <w:r>
        <w:t xml:space="preserve">Salazar said.</w:t>
      </w:r>
      <w:r>
        <w:t xml:space="preserve"> </w:t>
      </w:r>
      <w:r>
        <w:t xml:space="preserve">‘</w:t>
      </w:r>
      <w:r>
        <w:t xml:space="preserve">If I have to do this as a private citizen, this takes time, and I never thought I was going to go through that.</w:t>
      </w:r>
      <w:r>
        <w:t xml:space="preserve">’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]</w:t>
      </w:r>
    </w:p>
    <w:bookmarkEnd w:id="24"/>
    <w:bookmarkEnd w:id="25"/>
    <w:bookmarkStart w:id="27" w:name="educational-and-skill-development"/>
    <w:p>
      <w:pPr>
        <w:pStyle w:val="Heading3"/>
      </w:pPr>
      <w:r>
        <w:t xml:space="preserve">Educational and Skill Development</w:t>
      </w:r>
    </w:p>
    <w:bookmarkStart w:id="26" w:name="vocational-training-support"/>
    <w:p>
      <w:pPr>
        <w:pStyle w:val="Heading4"/>
      </w:pPr>
      <w:r>
        <w:t xml:space="preserve">Vocational Training Support</w:t>
      </w:r>
    </w:p>
    <w:p>
      <w:pPr>
        <w:pStyle w:val="FirstParagraph"/>
      </w:pPr>
      <w:r>
        <w:rPr>
          <w:bCs/>
          <w:b/>
        </w:rPr>
        <w:t xml:space="preserve">February 2022: Salazar Explained Restitution Would Fund American Worker Training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The restitution money would go into a new American Worker Fund, which would pay for workforce training for U.S. citizens.</w:t>
      </w:r>
      <w:r>
        <w:t xml:space="preserve">”</w:t>
      </w:r>
      <w:r>
        <w:t xml:space="preserve"> </w:t>
      </w:r>
      <w:r>
        <w:t xml:space="preserve">Also, Salazar stated,</w:t>
      </w:r>
      <w:r>
        <w:t xml:space="preserve"> </w:t>
      </w:r>
      <w:r>
        <w:t xml:space="preserve">“</w:t>
      </w:r>
      <w:r>
        <w:t xml:space="preserve">A thousand dollars a year to live in the promised land, it’s more than accepted.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1">
        <w:r>
          <w:rPr>
            <w:rStyle w:val="Hyperlink"/>
          </w:rPr>
          <w:t xml:space="preserve">2/8/22</w:t>
        </w:r>
      </w:hyperlink>
      <w:r>
        <w:t xml:space="preserve">]</w:t>
      </w:r>
    </w:p>
    <w:bookmarkEnd w:id="26"/>
    <w:bookmarkEnd w:id="27"/>
    <w:bookmarkStart w:id="29" w:name="immigration-reform-and-workforce-needs"/>
    <w:p>
      <w:pPr>
        <w:pStyle w:val="Heading3"/>
      </w:pPr>
      <w:r>
        <w:t xml:space="preserve">Immigration Reform and Workforce Needs</w:t>
      </w:r>
    </w:p>
    <w:bookmarkStart w:id="28" w:name="Xe6d0efd0b3c1bdf19266540cdcc5af3d80436f5"/>
    <w:p>
      <w:pPr>
        <w:pStyle w:val="Heading4"/>
      </w:pPr>
      <w:r>
        <w:t xml:space="preserve">Legislation for DACA Recipients and Dreamers</w:t>
      </w:r>
    </w:p>
    <w:p>
      <w:pPr>
        <w:pStyle w:val="FirstParagraph"/>
      </w:pPr>
      <w:r>
        <w:rPr>
          <w:bCs/>
          <w:b/>
        </w:rPr>
        <w:t xml:space="preserve">July 2024: Salazar Cited Need For Workers In Various Industries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Salazar said businesses need workers, specifically citing crop picking, janitorial services and construction work.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2">
        <w:r>
          <w:rPr>
            <w:rStyle w:val="Hyperlink"/>
          </w:rPr>
          <w:t xml:space="preserve">7/17/24</w:t>
        </w:r>
      </w:hyperlink>
      <w:r>
        <w:t xml:space="preserve">]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23S-4M41-DYJM-M54S-00000-00&amp;context=1519360" TargetMode="External" /><Relationship Type="http://schemas.openxmlformats.org/officeDocument/2006/relationships/hyperlink" Id="rId21" Target="https://advance.lexis.com/api/document?collection=news&amp;id=urn:contentItem:64R9-DK71-JC3J-X415-00000-00&amp;context=1519360" TargetMode="External" /><Relationship Type="http://schemas.openxmlformats.org/officeDocument/2006/relationships/hyperlink" Id="rId22" Target="https://advance.lexis.com/api/document?collection=news&amp;id=urn:contentItem:6CH3-9K61-JCBJ-Y00J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23S-4M41-DYJM-M54S-00000-00&amp;context=1519360" TargetMode="External" /><Relationship Type="http://schemas.openxmlformats.org/officeDocument/2006/relationships/hyperlink" Id="rId21" Target="https://advance.lexis.com/api/document?collection=news&amp;id=urn:contentItem:64R9-DK71-JC3J-X415-00000-00&amp;context=1519360" TargetMode="External" /><Relationship Type="http://schemas.openxmlformats.org/officeDocument/2006/relationships/hyperlink" Id="rId22" Target="https://advance.lexis.com/api/document?collection=news&amp;id=urn:contentItem:6CH3-9K61-JCBJ-Y00J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