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10d6012eef2330ac63a69316b9969d55a97c16c"/>
    <w:p>
      <w:pPr>
        <w:pStyle w:val="Heading1"/>
      </w:pPr>
      <w:r>
        <w:t xml:space="preserve">Jeff Hurd’s Relationships with Individuals and Groups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Relationships with Political Individuals and Parties</w:t>
      </w:r>
    </w:p>
    <w:p>
      <w:pPr>
        <w:numPr>
          <w:ilvl w:val="0"/>
          <w:numId w:val="1001"/>
        </w:numPr>
        <w:pStyle w:val="Compact"/>
      </w:pPr>
      <w:r>
        <w:t xml:space="preserve">Relationships with Constituents and Community Groups</w:t>
      </w:r>
    </w:p>
    <w:p>
      <w:pPr>
        <w:numPr>
          <w:ilvl w:val="0"/>
          <w:numId w:val="1001"/>
        </w:numPr>
        <w:pStyle w:val="Compact"/>
      </w:pPr>
      <w:r>
        <w:t xml:space="preserve">Relationships with Advocacy Groups, Coalitions, and Legislation Partners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2026-01-27T02:08:15Z</dcterms:created>
  <dcterms:modified xsi:type="dcterms:W3CDTF">2026-01-27T02:08:15Z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