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68e71e9b2f80d639feca03bb03aaf4cefcf8422"/>
    <w:p>
      <w:pPr>
        <w:pStyle w:val="Heading1"/>
      </w:pPr>
      <w:r>
        <w:t xml:space="preserve">Judicial Philosophy and Legislative Approach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Hurd’s refusal to take a clear stance on high-profile Supreme Court compliance cases may be perceived as evasive or lacking leadership (</w:t>
      </w:r>
      <w:hyperlink r:id="rId20">
        <w:r>
          <w:rPr>
            <w:rStyle w:val="Hyperlink"/>
          </w:rPr>
          <w:t xml:space="preserve">The Journal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Durango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His</w:t>
      </w:r>
      <w:r>
        <w:t xml:space="preserve"> </w:t>
      </w:r>
      <w:r>
        <w:t xml:space="preserve">“</w:t>
      </w:r>
      <w:r>
        <w:t xml:space="preserve">wait and see</w:t>
      </w:r>
      <w:r>
        <w:t xml:space="preserve">”</w:t>
      </w:r>
      <w:r>
        <w:t xml:space="preserve"> </w:t>
      </w:r>
      <w:r>
        <w:t xml:space="preserve">approach, even when pressed, could be criticized by voters looking for assertive positions on executive and judicial authority (</w:t>
      </w:r>
      <w:hyperlink r:id="rId21">
        <w:r>
          <w:rPr>
            <w:rStyle w:val="Hyperlink"/>
          </w:rPr>
          <w:t xml:space="preserve">Durango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Being labeled a</w:t>
      </w:r>
      <w:r>
        <w:t xml:space="preserve"> </w:t>
      </w:r>
      <w:r>
        <w:t xml:space="preserve">“</w:t>
      </w:r>
      <w:r>
        <w:t xml:space="preserve">constitutional conservative</w:t>
      </w:r>
      <w:r>
        <w:t xml:space="preserve">”</w:t>
      </w:r>
      <w:r>
        <w:t xml:space="preserve"> </w:t>
      </w:r>
      <w:r>
        <w:t xml:space="preserve">might alienate moderate or independent voters in a district known for closely contested elections (</w:t>
      </w:r>
      <w:hyperlink r:id="rId22">
        <w:r>
          <w:rPr>
            <w:rStyle w:val="Hyperlink"/>
          </w:rPr>
          <w:t xml:space="preserve">Denver Post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Emphasis on the separation of powers and constitutional principles, while praised by some, risks appearing out of touch with constituents who prioritize practical or local issues (</w:t>
      </w:r>
      <w:hyperlink r:id="rId22">
        <w:r>
          <w:rPr>
            <w:rStyle w:val="Hyperlink"/>
          </w:rPr>
          <w:t xml:space="preserve">Denver Post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His careful, reserved public statements may open him up to criticism for not displaying enough conviction or for</w:t>
      </w:r>
      <w:r>
        <w:t xml:space="preserve"> </w:t>
      </w:r>
      <w:r>
        <w:t xml:space="preserve">“</w:t>
      </w:r>
      <w:r>
        <w:t xml:space="preserve">fence sitting</w:t>
      </w:r>
      <w:r>
        <w:t xml:space="preserve">”</w:t>
      </w:r>
      <w:r>
        <w:t xml:space="preserve"> </w:t>
      </w:r>
      <w:r>
        <w:t xml:space="preserve">in critical political moments.</w:t>
      </w:r>
    </w:p>
    <w:bookmarkEnd w:id="23"/>
    <w:bookmarkStart w:id="25" w:name="ideological-stance"/>
    <w:p>
      <w:pPr>
        <w:pStyle w:val="Heading3"/>
      </w:pPr>
      <w:r>
        <w:t xml:space="preserve">Ideological Stance</w:t>
      </w:r>
    </w:p>
    <w:bookmarkStart w:id="24" w:name="conservative-republican-identity"/>
    <w:p>
      <w:pPr>
        <w:pStyle w:val="Heading4"/>
      </w:pPr>
      <w:r>
        <w:t xml:space="preserve">Conservative Republican Identity</w:t>
      </w:r>
    </w:p>
    <w:p>
      <w:pPr>
        <w:pStyle w:val="FirstParagraph"/>
      </w:pPr>
      <w:r>
        <w:rPr>
          <w:bCs/>
          <w:b/>
        </w:rPr>
        <w:t xml:space="preserve">April 2025: Hurd Praised As A</w:t>
      </w:r>
      <w:r>
        <w:t xml:space="preserve"> </w:t>
      </w:r>
      <w:r>
        <w:t xml:space="preserve">‘</w:t>
      </w:r>
      <w:r>
        <w:rPr>
          <w:bCs/>
          <w:b/>
        </w:rPr>
        <w:t xml:space="preserve">Constitutional Conservative</w:t>
      </w:r>
      <w:r>
        <w:t xml:space="preserve">’</w:t>
      </w:r>
      <w:r>
        <w:t xml:space="preserve"> </w:t>
      </w:r>
      <w:r>
        <w:rPr>
          <w:bCs/>
          <w:b/>
        </w:rPr>
        <w:t xml:space="preserve">By Former State GOP Chair</w:t>
      </w:r>
      <w:r>
        <w:t xml:space="preserve"> </w:t>
      </w:r>
      <w:r>
        <w:t xml:space="preserve">According to Denver Post,</w:t>
      </w:r>
      <w:r>
        <w:t xml:space="preserve"> </w:t>
      </w:r>
      <w:r>
        <w:t xml:space="preserve">“</w:t>
      </w:r>
      <w:r>
        <w:t xml:space="preserve">Hurd has taken a principled stand guarding the separation of powers at the top of American government, Wadhams said a position that should help him in a district that nearly ousted Republican Lauren Boebert in 2022 over concerns about her behavior and gravitas.</w:t>
      </w:r>
      <w:r>
        <w:t xml:space="preserve"> </w:t>
      </w:r>
      <w:r>
        <w:t xml:space="preserve">‘</w:t>
      </w:r>
      <w:r>
        <w:t xml:space="preserve">He’s a truly constitutional conservative,</w:t>
      </w:r>
      <w:r>
        <w:t xml:space="preserve">’</w:t>
      </w:r>
      <w:r>
        <w:t xml:space="preserve"> </w:t>
      </w:r>
      <w:r>
        <w:t xml:space="preserve">Wadhams said.</w:t>
      </w:r>
      <w:r>
        <w:t xml:space="preserve">”</w:t>
      </w:r>
      <w:r>
        <w:t xml:space="preserve"> </w:t>
      </w:r>
      <w:r>
        <w:t xml:space="preserve">[Denver Post,</w:t>
      </w:r>
      <w:r>
        <w:t xml:space="preserve"> </w:t>
      </w:r>
      <w:hyperlink r:id="rId22">
        <w:r>
          <w:rPr>
            <w:rStyle w:val="Hyperlink"/>
          </w:rPr>
          <w:t xml:space="preserve">4/19/25</w:t>
        </w:r>
      </w:hyperlink>
      <w:r>
        <w:t xml:space="preserve">]</w:t>
      </w:r>
    </w:p>
    <w:bookmarkEnd w:id="24"/>
    <w:bookmarkEnd w:id="25"/>
    <w:bookmarkStart w:id="27" w:name="approach-to-constituent-engagement"/>
    <w:p>
      <w:pPr>
        <w:pStyle w:val="Heading3"/>
      </w:pPr>
      <w:r>
        <w:t xml:space="preserve">Approach to Constituent Engagement</w:t>
      </w:r>
    </w:p>
    <w:bookmarkStart w:id="26" w:name="prioritization-of-local-issues"/>
    <w:p>
      <w:pPr>
        <w:pStyle w:val="Heading4"/>
      </w:pPr>
      <w:r>
        <w:t xml:space="preserve">Prioritization of Local Issues</w:t>
      </w:r>
    </w:p>
    <w:p>
      <w:pPr>
        <w:pStyle w:val="FirstParagraph"/>
      </w:pPr>
      <w:r>
        <w:rPr>
          <w:bCs/>
          <w:b/>
        </w:rPr>
        <w:t xml:space="preserve">April 2025: Jeff Hurd Reserved Judgment On Presidential SCOTUS Compliance Issue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‘</w:t>
      </w:r>
      <w:r>
        <w:t xml:space="preserve">“</w:t>
      </w:r>
      <w:r>
        <w:t xml:space="preserve">I think we need to see how this process works out, what the Supreme Court does, how this process works,</w:t>
      </w:r>
      <w:r>
        <w:t xml:space="preserve">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</w:t>
      </w:r>
      <w:r>
        <w:t xml:space="preserve">I’d wait and see what the facts are. I think I’m going to reserve judgment until we have a chance to see exactly how this works out.</w:t>
      </w:r>
      <w:r>
        <w:t xml:space="preserve">”</w:t>
      </w:r>
      <w:r>
        <w:t xml:space="preserve">’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0">
        <w:r>
          <w:rPr>
            <w:rStyle w:val="Hyperlink"/>
          </w:rPr>
          <w:t xml:space="preserve">4/23/25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Jeff Hurd Declined To Take A Position On Supreme Court Compliance Case</w:t>
      </w:r>
      <w:r>
        <w:t xml:space="preserve"> </w:t>
      </w:r>
      <w:r>
        <w:t xml:space="preserve">According to Durango Herald,</w:t>
      </w:r>
      <w:r>
        <w:t xml:space="preserve"> </w:t>
      </w:r>
      <w:r>
        <w:t xml:space="preserve">“</w:t>
      </w:r>
      <w:r>
        <w:t xml:space="preserve">When pressed in an interview about his stance on the president’s lack of compliance with a Supreme Court order to facilitate the return of a mistakenly deported Maryland man to El Salvador, Hurd was unwilling to take a position or even analyze the situation.</w:t>
      </w:r>
      <w:r>
        <w:t xml:space="preserve"> </w:t>
      </w:r>
      <w:r>
        <w:t xml:space="preserve">‘</w:t>
      </w:r>
      <w:r>
        <w:t xml:space="preserve">I think we need to see how this process works out, what the Supreme Court does, how this process works,</w:t>
      </w:r>
      <w:r>
        <w:t xml:space="preserve">’</w:t>
      </w:r>
      <w:r>
        <w:t xml:space="preserve"> </w:t>
      </w:r>
      <w:r>
        <w:t xml:space="preserve">he said.</w:t>
      </w:r>
      <w:r>
        <w:t xml:space="preserve"> </w:t>
      </w:r>
      <w:r>
        <w:t xml:space="preserve">‘</w:t>
      </w:r>
      <w:r>
        <w:t xml:space="preserve">I’d wait and see what the facts are. I think I’m going to reserve judgment until we have a chance to see exactly how this works out.</w:t>
      </w:r>
      <w:r>
        <w:t xml:space="preserve">’</w:t>
      </w:r>
      <w:r>
        <w:t xml:space="preserve">”</w:t>
      </w:r>
      <w:r>
        <w:t xml:space="preserve"> </w:t>
      </w:r>
      <w:r>
        <w:t xml:space="preserve">[Durango Herald,</w:t>
      </w:r>
      <w:r>
        <w:t xml:space="preserve"> </w:t>
      </w:r>
      <w:hyperlink r:id="rId21">
        <w:r>
          <w:rPr>
            <w:rStyle w:val="Hyperlink"/>
          </w:rPr>
          <w:t xml:space="preserve">4/23/25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FKY-3N73-RTF4-N187-00000-00&amp;context=1519360" TargetMode="External" /><Relationship Type="http://schemas.openxmlformats.org/officeDocument/2006/relationships/hyperlink" Id="rId21" Target="https://advance.lexis.com/api/document?collection=news&amp;id=urn:contentItem:6FN1-SVJ3-RSD6-V0KR-00000-00&amp;context=1519360" TargetMode="External" /><Relationship Type="http://schemas.openxmlformats.org/officeDocument/2006/relationships/hyperlink" Id="rId20" Target="https://advance.lexis.com/api/document?collection=news&amp;id=urn:contentItem:6FNN-P6V3-RTT4-X35N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FKY-3N73-RTF4-N187-00000-00&amp;context=1519360" TargetMode="External" /><Relationship Type="http://schemas.openxmlformats.org/officeDocument/2006/relationships/hyperlink" Id="rId21" Target="https://advance.lexis.com/api/document?collection=news&amp;id=urn:contentItem:6FN1-SVJ3-RSD6-V0KR-00000-00&amp;context=1519360" TargetMode="External" /><Relationship Type="http://schemas.openxmlformats.org/officeDocument/2006/relationships/hyperlink" Id="rId20" Target="https://advance.lexis.com/api/document?collection=news&amp;id=urn:contentItem:6FNN-P6V3-RTT4-X35N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