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197bb8fc61e37b89b1e0d1e110f415cda2e750c"/>
    <w:p>
      <w:pPr>
        <w:pStyle w:val="Heading1"/>
      </w:pPr>
      <w:r>
        <w:t xml:space="preserve">Jeff Hurd’s Positions On Energy and the Environment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Energy Policy Positions</w:t>
      </w:r>
    </w:p>
    <w:p>
      <w:pPr>
        <w:numPr>
          <w:ilvl w:val="0"/>
          <w:numId w:val="1001"/>
        </w:numPr>
        <w:pStyle w:val="Compact"/>
      </w:pPr>
      <w:r>
        <w:t xml:space="preserve">Environmental Policy and Legislative Actions</w:t>
      </w:r>
    </w:p>
    <w:p>
      <w:pPr>
        <w:numPr>
          <w:ilvl w:val="0"/>
          <w:numId w:val="1001"/>
        </w:numPr>
        <w:pStyle w:val="Compact"/>
      </w:pPr>
      <w:r>
        <w:t xml:space="preserve">Energy Infrastructure and Resource Management</w:t>
      </w:r>
    </w:p>
    <w:p>
      <w:pPr>
        <w:numPr>
          <w:ilvl w:val="0"/>
          <w:numId w:val="1001"/>
        </w:numPr>
        <w:pStyle w:val="Compact"/>
      </w:pPr>
      <w:r>
        <w:t xml:space="preserve">Economic, Local, and National Impacts of Energy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