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f4db8cb73c6b5c9fb3cb2177ed745a67dfa6cb3"/>
    <w:p>
      <w:pPr>
        <w:pStyle w:val="Heading1"/>
      </w:pPr>
      <w:r>
        <w:t xml:space="preserve">Jeff Hurd’s Positions On Government and Campaign Reform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Legislative Priorities and Government Reform</w:t>
      </w:r>
    </w:p>
    <w:p>
      <w:pPr>
        <w:numPr>
          <w:ilvl w:val="0"/>
          <w:numId w:val="1001"/>
        </w:numPr>
        <w:pStyle w:val="Compact"/>
      </w:pPr>
      <w:r>
        <w:t xml:space="preserve">Campaign Finance, Transparency, and Accountability</w:t>
      </w:r>
    </w:p>
    <w:p>
      <w:pPr>
        <w:numPr>
          <w:ilvl w:val="0"/>
          <w:numId w:val="1001"/>
        </w:numPr>
        <w:pStyle w:val="Compact"/>
      </w:pPr>
      <w:r>
        <w:t xml:space="preserve">Campaign Approach and Political Philosophy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