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da1aef3e155f9b5a04cbbc586ecb16f83cbe810"/>
    <w:p>
      <w:pPr>
        <w:pStyle w:val="Heading1"/>
      </w:pPr>
      <w:r>
        <w:t xml:space="preserve">Jeff Hurd’s Positions On Banking and Finance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Economic Policy and Fiscal Responsibility</w:t>
      </w:r>
    </w:p>
    <w:p>
      <w:pPr>
        <w:numPr>
          <w:ilvl w:val="0"/>
          <w:numId w:val="1001"/>
        </w:numPr>
        <w:pStyle w:val="Compact"/>
      </w:pPr>
      <w:r>
        <w:t xml:space="preserve">Banking, Financial Regulation, and Trade</w:t>
      </w:r>
    </w:p>
    <w:p>
      <w:pPr>
        <w:numPr>
          <w:ilvl w:val="0"/>
          <w:numId w:val="1001"/>
        </w:numPr>
        <w:pStyle w:val="Compact"/>
      </w:pPr>
      <w:r>
        <w:t xml:space="preserve">Campaign Finance and Fundraising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