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eli-cranes-personal-wealth"/>
    <w:p>
      <w:pPr>
        <w:pStyle w:val="Heading1"/>
      </w:pPr>
      <w:r>
        <w:t xml:space="preserve">Eli Crane’s Personal Wealth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Financial Transparency and Public Scrutiny</w:t>
      </w:r>
    </w:p>
    <w:p>
      <w:pPr>
        <w:numPr>
          <w:ilvl w:val="0"/>
          <w:numId w:val="1001"/>
        </w:numPr>
        <w:pStyle w:val="Compact"/>
      </w:pPr>
      <w:r>
        <w:t xml:space="preserve">Campaign Financing and Fundraising</w:t>
      </w:r>
    </w:p>
    <w:p>
      <w:pPr>
        <w:numPr>
          <w:ilvl w:val="0"/>
          <w:numId w:val="1001"/>
        </w:numPr>
        <w:pStyle w:val="Compact"/>
      </w:pPr>
      <w:r>
        <w:t xml:space="preserve">Sources of Wealth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2026-01-27T02:10:09Z</dcterms:created>
  <dcterms:modified xsi:type="dcterms:W3CDTF">2026-01-27T02:10:09Z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