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5c6cbd243ac771544e0a17254e6646afbf1b9a"/>
    <w:p>
      <w:pPr>
        <w:pStyle w:val="Heading1"/>
      </w:pPr>
      <w:r>
        <w:t xml:space="preserve">Eli Crane’s Relationships with Individuals and Groups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Engagement with Advocacy and Interest Groups</w:t>
      </w:r>
    </w:p>
    <w:p>
      <w:pPr>
        <w:numPr>
          <w:ilvl w:val="0"/>
          <w:numId w:val="1001"/>
        </w:numPr>
        <w:pStyle w:val="Compact"/>
      </w:pPr>
      <w:r>
        <w:t xml:space="preserve">Political Alliances and Opponents</w:t>
      </w:r>
    </w:p>
    <w:p>
      <w:pPr>
        <w:numPr>
          <w:ilvl w:val="0"/>
          <w:numId w:val="1001"/>
        </w:numPr>
        <w:pStyle w:val="Compact"/>
      </w:pPr>
      <w:r>
        <w:t xml:space="preserve">Engagement with Constituents, Advocacy Groups, and the Public</w:t>
      </w:r>
    </w:p>
    <w:p>
      <w:pPr>
        <w:numPr>
          <w:ilvl w:val="0"/>
          <w:numId w:val="1001"/>
        </w:numPr>
        <w:pStyle w:val="Compact"/>
      </w:pPr>
      <w:r>
        <w:t xml:space="preserve">Media Engagement and Public Image</w:t>
      </w:r>
    </w:p>
    <w:p>
      <w:pPr>
        <w:numPr>
          <w:ilvl w:val="0"/>
          <w:numId w:val="1001"/>
        </w:numPr>
        <w:pStyle w:val="Compact"/>
      </w:pPr>
      <w:r>
        <w:t xml:space="preserve">Collaboration and Conflict with Policy Stakeholders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