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ositions-on-poverty-policy"/>
    <w:p>
      <w:pPr>
        <w:pStyle w:val="Heading1"/>
      </w:pPr>
      <w:r>
        <w:t xml:space="preserve">Eli Crane’s Positions On Poverty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Initiatives and Policy Actions on Poverty</w:t>
      </w:r>
    </w:p>
    <w:p>
      <w:pPr>
        <w:numPr>
          <w:ilvl w:val="0"/>
          <w:numId w:val="1001"/>
        </w:numPr>
        <w:pStyle w:val="Compact"/>
      </w:pPr>
      <w:r>
        <w:t xml:space="preserve">Approach to Government Assistance Programs</w:t>
      </w:r>
    </w:p>
    <w:p>
      <w:pPr>
        <w:numPr>
          <w:ilvl w:val="0"/>
          <w:numId w:val="1001"/>
        </w:numPr>
        <w:pStyle w:val="Compact"/>
      </w:pPr>
      <w:r>
        <w:t xml:space="preserve">Rhetoric, Advocacy, and Public Statements on Poverty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