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legislative-actions-on-labor-unions"/>
    <w:p>
      <w:pPr>
        <w:pStyle w:val="Heading1"/>
      </w:pPr>
      <w:r>
        <w:t xml:space="preserve">Legislative Actions on Labor Unions</w:t>
      </w:r>
    </w:p>
    <w:bookmarkStart w:id="22" w:name="votes-on-labor-union-legislation"/>
    <w:p>
      <w:pPr>
        <w:pStyle w:val="Heading3"/>
      </w:pPr>
      <w:r>
        <w:t xml:space="preserve">Votes on Labor Union Legislation</w:t>
      </w:r>
    </w:p>
    <w:bookmarkStart w:id="21" w:name="key-votes-impacting-organized-labor"/>
    <w:p>
      <w:pPr>
        <w:pStyle w:val="Heading4"/>
      </w:pPr>
      <w:r>
        <w:t xml:space="preserve">Key votes impacting organized labor</w:t>
      </w:r>
    </w:p>
    <w:p>
      <w:pPr>
        <w:pStyle w:val="FirstParagraph"/>
      </w:pPr>
      <w:r>
        <w:rPr>
          <w:bCs/>
          <w:b/>
        </w:rPr>
        <w:t xml:space="preserve">2023: AFL-CIO Gave Crane A 0% Pro-Labor Score For 2023 And Lifetime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2023 Score 0%… Lifetime Score 0%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0">
        <w:r>
          <w:rPr>
            <w:rStyle w:val="Hyperlink"/>
          </w:rPr>
          <w:t xml:space="preserve">9/30/23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flcio.org/scorecard/legislators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flcio.org/scorecard/legislators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