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a66fca73a8d170ab875fb511e7cbc9c569fcb4c"/>
    <w:p>
      <w:pPr>
        <w:pStyle w:val="Heading1"/>
      </w:pPr>
      <w:r>
        <w:t xml:space="preserve">Eli Crane’s Positions On Immigration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Border Security and Enforcement</w:t>
      </w:r>
    </w:p>
    <w:p>
      <w:pPr>
        <w:numPr>
          <w:ilvl w:val="0"/>
          <w:numId w:val="1001"/>
        </w:numPr>
        <w:pStyle w:val="Compact"/>
      </w:pPr>
      <w:r>
        <w:t xml:space="preserve">Partisan Alignment and Political Strategy</w:t>
      </w:r>
    </w:p>
    <w:p>
      <w:pPr>
        <w:numPr>
          <w:ilvl w:val="0"/>
          <w:numId w:val="1001"/>
        </w:numPr>
        <w:pStyle w:val="Compact"/>
      </w:pPr>
      <w:r>
        <w:t xml:space="preserve">Legislation, Committee Work, and Tribal Issues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