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031db6ec7ef1abb4a5fbf0952487a2f31ca248"/>
    <w:p>
      <w:pPr>
        <w:pStyle w:val="Heading1"/>
      </w:pPr>
      <w:r>
        <w:t xml:space="preserve">Eli Crane’s Positions On Homeland Security and Terrorism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Federal Law Enforcement and Counterterrorism Policy</w:t>
      </w:r>
    </w:p>
    <w:p>
      <w:pPr>
        <w:numPr>
          <w:ilvl w:val="0"/>
          <w:numId w:val="1001"/>
        </w:numPr>
        <w:pStyle w:val="Compact"/>
      </w:pPr>
      <w:r>
        <w:t xml:space="preserve">Border Security and Immigration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