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childhood-education"/>
    <w:p>
      <w:pPr>
        <w:pStyle w:val="Heading1"/>
      </w:pPr>
      <w:r>
        <w:t xml:space="preserve">Eli Crane’s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Formative Events and Personal Development</w:t>
      </w:r>
    </w:p>
    <w:p>
      <w:pPr>
        <w:numPr>
          <w:ilvl w:val="0"/>
          <w:numId w:val="1001"/>
        </w:numPr>
        <w:pStyle w:val="Compact"/>
      </w:pPr>
      <w:r>
        <w:t xml:space="preserve">Early Life and Family Background</w:t>
      </w:r>
    </w:p>
    <w:p>
      <w:pPr>
        <w:numPr>
          <w:ilvl w:val="0"/>
          <w:numId w:val="1001"/>
        </w:numPr>
        <w:pStyle w:val="Compact"/>
      </w:pPr>
      <w:r>
        <w:t xml:space="preserve">Schooling and Academic Experiences</w:t>
      </w:r>
    </w:p>
    <w:p>
      <w:pPr>
        <w:numPr>
          <w:ilvl w:val="0"/>
          <w:numId w:val="1001"/>
        </w:numPr>
        <w:pStyle w:val="Compact"/>
      </w:pPr>
      <w:r>
        <w:t xml:space="preserve">Education Challenges and Decisions</w:t>
      </w:r>
    </w:p>
    <w:p>
      <w:pPr>
        <w:numPr>
          <w:ilvl w:val="0"/>
          <w:numId w:val="1001"/>
        </w:numPr>
        <w:pStyle w:val="Compact"/>
      </w:pPr>
      <w:r>
        <w:t xml:space="preserve">Early Values and Beliefs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