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eli-cranes-positions-on-defense-policy"/>
    <w:p>
      <w:pPr>
        <w:pStyle w:val="Heading1"/>
      </w:pPr>
      <w:r>
        <w:t xml:space="preserve">Eli Crane’s Positions On Defense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Defense Policy Philosophy and Committee Influence</w:t>
      </w:r>
    </w:p>
    <w:p>
      <w:pPr>
        <w:numPr>
          <w:ilvl w:val="0"/>
          <w:numId w:val="1001"/>
        </w:numPr>
        <w:pStyle w:val="Compact"/>
      </w:pPr>
      <w:r>
        <w:t xml:space="preserve">Military Aid and Foreign Policy Positions</w:t>
      </w:r>
    </w:p>
    <w:p>
      <w:pPr>
        <w:numPr>
          <w:ilvl w:val="0"/>
          <w:numId w:val="1001"/>
        </w:numPr>
        <w:pStyle w:val="Compact"/>
      </w:pPr>
      <w:r>
        <w:t xml:space="preserve">Military Funding and Defense Spending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2026-01-27T02:10:09Z</dcterms:created>
  <dcterms:modified xsi:type="dcterms:W3CDTF">2026-01-27T02:10:09Z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