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04c1bbff6d66376bae99dd6de5e016a35d8628"/>
    <w:p>
      <w:pPr>
        <w:pStyle w:val="Heading1"/>
      </w:pPr>
      <w:r>
        <w:t xml:space="preserve">Border Security and Immigration Enforcement</w:t>
      </w:r>
    </w:p>
    <w:bookmarkStart w:id="22" w:name="border-security-funding-and-legislation"/>
    <w:p>
      <w:pPr>
        <w:pStyle w:val="Heading3"/>
      </w:pPr>
      <w:r>
        <w:t xml:space="preserve">Border Security Funding and Legislation</w:t>
      </w:r>
    </w:p>
    <w:bookmarkStart w:id="21" w:name="support-for-increased-border-security"/>
    <w:p>
      <w:pPr>
        <w:pStyle w:val="Heading4"/>
      </w:pPr>
      <w:r>
        <w:t xml:space="preserve">Support for increased border security</w:t>
      </w:r>
    </w:p>
    <w:p>
      <w:pPr>
        <w:pStyle w:val="FirstParagraph"/>
      </w:pPr>
      <w:r>
        <w:rPr>
          <w:bCs/>
          <w:b/>
        </w:rPr>
        <w:t xml:space="preserve">September 2024: Eli Crane Identified Border Policy As Top Three Criminal Justice Priority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Responding to an audience question about his agenda on criminal justice, Crane, appearing to think over his answer, again pointed to the border as one of his</w:t>
      </w:r>
      <w:r>
        <w:t xml:space="preserve"> </w:t>
      </w:r>
      <w:r>
        <w:t xml:space="preserve">‘</w:t>
      </w:r>
      <w:r>
        <w:t xml:space="preserve">top three</w:t>
      </w:r>
      <w:r>
        <w:t xml:space="preserve">’</w:t>
      </w:r>
      <w:r>
        <w:t xml:space="preserve"> </w:t>
      </w:r>
      <w:r>
        <w:t xml:space="preserve">priorities on that issue.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9/5/24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WR-C471-JB1V-G1S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WR-C471-JB1V-G1S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