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public-sector-career"/>
    <w:p>
      <w:pPr>
        <w:pStyle w:val="Heading1"/>
      </w:pPr>
      <w:r>
        <w:t xml:space="preserve">Eli Crane’s Public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Constituent Relations, Public Image, and Campaigns</w:t>
      </w:r>
    </w:p>
    <w:p>
      <w:pPr>
        <w:numPr>
          <w:ilvl w:val="0"/>
          <w:numId w:val="1001"/>
        </w:numPr>
        <w:pStyle w:val="Compact"/>
      </w:pPr>
      <w:r>
        <w:t xml:space="preserve">Key Policy Positions and Political Actions</w:t>
      </w:r>
    </w:p>
    <w:p>
      <w:pPr>
        <w:numPr>
          <w:ilvl w:val="0"/>
          <w:numId w:val="1001"/>
        </w:numPr>
        <w:pStyle w:val="Compact"/>
      </w:pPr>
      <w:r>
        <w:t xml:space="preserve">Congressional Service and Legislative Record</w:t>
      </w:r>
    </w:p>
    <w:p>
      <w:pPr>
        <w:numPr>
          <w:ilvl w:val="0"/>
          <w:numId w:val="1001"/>
        </w:numPr>
        <w:pStyle w:val="Compact"/>
      </w:pPr>
      <w:r>
        <w:t xml:space="preserve">Fundraising, Consulting, and Campaign Finance</w:t>
      </w:r>
    </w:p>
    <w:p>
      <w:pPr>
        <w:numPr>
          <w:ilvl w:val="0"/>
          <w:numId w:val="1001"/>
        </w:numPr>
        <w:pStyle w:val="Compact"/>
      </w:pPr>
      <w:r>
        <w:t xml:space="preserve">Legislative Actions and Sponsored Bills</w:t>
      </w:r>
    </w:p>
    <w:p>
      <w:pPr>
        <w:numPr>
          <w:ilvl w:val="0"/>
          <w:numId w:val="1001"/>
        </w:numPr>
        <w:pStyle w:val="Compact"/>
      </w:pPr>
      <w:r>
        <w:t xml:space="preserve">Election and Congressional Representation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