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1ec8bd6b5e55740d11ff9748e83b05237dc941"/>
    <w:p>
      <w:pPr>
        <w:pStyle w:val="Heading1"/>
      </w:pPr>
      <w:r>
        <w:t xml:space="preserve">Eli Crane’s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Bank Regulation and Financial Oversight</w:t>
      </w:r>
    </w:p>
    <w:p>
      <w:pPr>
        <w:numPr>
          <w:ilvl w:val="0"/>
          <w:numId w:val="1001"/>
        </w:numPr>
        <w:pStyle w:val="Compact"/>
      </w:pPr>
      <w:r>
        <w:t xml:space="preserve">Small Business, Lending, and Entrepreneurship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