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reservations"/>
    <w:p>
      <w:pPr>
        <w:pStyle w:val="Heading1"/>
      </w:pPr>
      <w:r>
        <w:t xml:space="preserve">Reservations</w:t>
      </w:r>
    </w:p>
    <w:bookmarkStart w:id="23" w:name="puyallup-tribe"/>
    <w:p>
      <w:pPr>
        <w:pStyle w:val="Heading3"/>
      </w:pPr>
      <w:r>
        <w:t xml:space="preserve">Puyallup Tribe</w:t>
      </w:r>
    </w:p>
    <w:p>
      <w:pPr>
        <w:pStyle w:val="FirstParagraph"/>
      </w:pPr>
      <w:r>
        <w:rPr>
          <w:bCs/>
          <w:b/>
        </w:rPr>
        <w:t xml:space="preserve">2024: Schweikert Voted To Take 17 Acres Of Land Into Trust For The Benefit Of The Puyallup Tribe.</w:t>
      </w:r>
      <w:r>
        <w:t xml:space="preserve"> </w:t>
      </w:r>
      <w:r>
        <w:t xml:space="preserve">In April 2024, Schweikert voted for , according to Congressional Quarterly,</w:t>
      </w:r>
      <w:r>
        <w:t xml:space="preserve"> </w:t>
      </w:r>
      <w:r>
        <w:t xml:space="preserve">“</w:t>
      </w:r>
      <w:r>
        <w:t xml:space="preserve">the bill (S 382) that would direct the U.S. to take approximately 17 acres of land in Pierce County, Wash., into trust for the benefit of the Puyallup Tribe of the Puyallup Reservation. It would prohibit the use of land for gaming and waive federal government liability for any environmental contamination of the land taken in trust.</w:t>
      </w:r>
      <w:r>
        <w:t xml:space="preserve">”</w:t>
      </w:r>
      <w:r>
        <w:t xml:space="preserve"> </w:t>
      </w:r>
      <w:r>
        <w:t xml:space="preserve">The vote was on passage. The House passed the bill by a vote of 401 to 15. [House Vote 110,</w:t>
      </w:r>
      <w:r>
        <w:t xml:space="preserve"> </w:t>
      </w:r>
      <w:hyperlink r:id="rId20">
        <w:r>
          <w:rPr>
            <w:rStyle w:val="Hyperlink"/>
          </w:rPr>
          <w:t xml:space="preserve">4/11/24</w:t>
        </w:r>
      </w:hyperlink>
      <w:r>
        <w:t xml:space="preserve">; Congressional Quarterly,</w:t>
      </w:r>
      <w:r>
        <w:t xml:space="preserve"> </w:t>
      </w:r>
      <w:hyperlink r:id="rId21">
        <w:r>
          <w:rPr>
            <w:rStyle w:val="Hyperlink"/>
          </w:rPr>
          <w:t xml:space="preserve">4/11/24</w:t>
        </w:r>
      </w:hyperlink>
      <w:r>
        <w:t xml:space="preserve">; Congressional Actions,</w:t>
      </w:r>
      <w:r>
        <w:t xml:space="preserve"> </w:t>
      </w:r>
      <w:hyperlink r:id="rId22">
        <w:r>
          <w:rPr>
            <w:rStyle w:val="Hyperlink"/>
          </w:rPr>
          <w:t xml:space="preserve">S. 382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10.xml" TargetMode="External" /><Relationship Type="http://schemas.openxmlformats.org/officeDocument/2006/relationships/hyperlink" Id="rId21" Target="https://plus.cq.com/vote/2024/H/110?17" TargetMode="External" /><Relationship Type="http://schemas.openxmlformats.org/officeDocument/2006/relationships/hyperlink" Id="rId22" Target="https://www.congress.gov/bill/118th-congress/senate-bill/38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10.xml" TargetMode="External" /><Relationship Type="http://schemas.openxmlformats.org/officeDocument/2006/relationships/hyperlink" Id="rId21" Target="https://plus.cq.com/vote/2024/H/110?17" TargetMode="External" /><Relationship Type="http://schemas.openxmlformats.org/officeDocument/2006/relationships/hyperlink" Id="rId22" Target="https://www.congress.gov/bill/118th-congress/senate-bill/38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