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jamul-indian-village"/>
    <w:p>
      <w:pPr>
        <w:pStyle w:val="Heading1"/>
      </w:pPr>
      <w:r>
        <w:t xml:space="preserve">Jamul Indian Village</w:t>
      </w:r>
    </w:p>
    <w:bookmarkStart w:id="23" w:name="land-transfer"/>
    <w:p>
      <w:pPr>
        <w:pStyle w:val="Heading3"/>
      </w:pPr>
      <w:r>
        <w:t xml:space="preserve">Land Transfer</w:t>
      </w:r>
    </w:p>
    <w:p>
      <w:pPr>
        <w:pStyle w:val="FirstParagraph"/>
      </w:pPr>
      <w:r>
        <w:rPr>
          <w:bCs/>
          <w:b/>
        </w:rPr>
        <w:t xml:space="preserve">2024: Schweikert Voted To Transfer Land In San Diego County, California To The Jamul Indian Village.</w:t>
      </w:r>
      <w:r>
        <w:t xml:space="preserve"> </w:t>
      </w:r>
      <w:r>
        <w:t xml:space="preserve">In December 2024, Schweikert voted for , according to Congressional Quarterly,</w:t>
      </w:r>
      <w:r>
        <w:t xml:space="preserve"> </w:t>
      </w:r>
      <w:r>
        <w:t xml:space="preserve">“</w:t>
      </w:r>
      <w:r>
        <w:t xml:space="preserve">the bill that would direct the Interior Department to take approximately 172.1 acres of land in San Diego County, Calif., into a trust for the benefit of the Jamul Indian Village of California. It would authorize the trust to acquire 1.1 acres of land owned by the California Department of Fish and Wildlife, subject to a pending land transfer with the Jamul Indian Village. The land would be part of the Jamul Indian Village reservation. Gambling on any land taken into the trust would be prohibited under the bill.</w:t>
      </w:r>
      <w:r>
        <w:t xml:space="preserve">”</w:t>
      </w:r>
      <w:r>
        <w:t xml:space="preserve"> </w:t>
      </w:r>
      <w:r>
        <w:t xml:space="preserve">The House passed the bill by a vote of 369 to 37. [House Vote 513,</w:t>
      </w:r>
      <w:r>
        <w:t xml:space="preserve"> </w:t>
      </w:r>
      <w:hyperlink r:id="rId20">
        <w:r>
          <w:rPr>
            <w:rStyle w:val="Hyperlink"/>
          </w:rPr>
          <w:t xml:space="preserve">12/18/24</w:t>
        </w:r>
      </w:hyperlink>
      <w:r>
        <w:t xml:space="preserve">; Congressional Quarterly,</w:t>
      </w:r>
      <w:r>
        <w:t xml:space="preserve"> </w:t>
      </w:r>
      <w:hyperlink r:id="rId21">
        <w:r>
          <w:rPr>
            <w:rStyle w:val="Hyperlink"/>
          </w:rPr>
          <w:t xml:space="preserve">12/18/24</w:t>
        </w:r>
      </w:hyperlink>
      <w:r>
        <w:t xml:space="preserve">; Congressional Actions,</w:t>
      </w:r>
      <w:r>
        <w:t xml:space="preserve"> </w:t>
      </w:r>
      <w:hyperlink r:id="rId22">
        <w:r>
          <w:rPr>
            <w:rStyle w:val="Hyperlink"/>
          </w:rPr>
          <w:t xml:space="preserve">S. 3857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513.xml" TargetMode="External" /><Relationship Type="http://schemas.openxmlformats.org/officeDocument/2006/relationships/hyperlink" Id="rId21" Target="https://plus.cq.com/vote/2024/H/513?4" TargetMode="External" /><Relationship Type="http://schemas.openxmlformats.org/officeDocument/2006/relationships/hyperlink" Id="rId22" Target="https://www.congress.gov/bill/118th-congress/senate-bill/385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513.xml" TargetMode="External" /><Relationship Type="http://schemas.openxmlformats.org/officeDocument/2006/relationships/hyperlink" Id="rId21" Target="https://plus.cq.com/vote/2024/H/513?4" TargetMode="External" /><Relationship Type="http://schemas.openxmlformats.org/officeDocument/2006/relationships/hyperlink" Id="rId22" Target="https://www.congress.gov/bill/118th-congress/senate-bill/385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