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catawba-indian-nation-lands"/>
    <w:p>
      <w:pPr>
        <w:pStyle w:val="Heading1"/>
      </w:pPr>
      <w:r>
        <w:t xml:space="preserve">Catawba Indian Nation Lands</w:t>
      </w:r>
    </w:p>
    <w:p>
      <w:pPr>
        <w:pStyle w:val="FirstParagraph"/>
      </w:pPr>
      <w:r>
        <w:rPr>
          <w:bCs/>
          <w:b/>
        </w:rPr>
        <w:t xml:space="preserve">2021: Schweikert Voted For Reaffirming the Status Of 17 Acres Of Land In Cleveland County, N.C. That Were Taken Into Trust By The Interior Department For The Benefit Of The Catawba Indian Nation, And Allowing Gaming In That Land Under The Federal Indian Gaming Regulatory Act.</w:t>
      </w:r>
      <w:r>
        <w:t xml:space="preserve"> </w:t>
      </w:r>
      <w:r>
        <w:t xml:space="preserve">In November 2021, Schweikert voted for the Catawba Indian Nation Lands Act which would, according to Congressional Quarterly,</w:t>
      </w:r>
      <w:r>
        <w:t xml:space="preserve"> </w:t>
      </w:r>
      <w:r>
        <w:t xml:space="preserve">“</w:t>
      </w:r>
      <w:r>
        <w:t xml:space="preserve">reaffirm the status of approximately 17 acres of land located in Cleveland County, N.C., that were taken into trust by the Interior Department in July 2020 for the benefit of the Catawba Indian Nation. It would specify that gaming on the tribe's lands in South Carolina would be subject to state law while gaming on the tribe's lands outside of South Carolina would be subject to the federal Indian Gaming Regulatory Act.</w:t>
      </w:r>
      <w:r>
        <w:t xml:space="preserve">”</w:t>
      </w:r>
      <w:r>
        <w:t xml:space="preserve"> </w:t>
      </w:r>
      <w:r>
        <w:t xml:space="preserve">The vote was on passage. The House passed the bill by a vote of 361-55. [House Vote 340,</w:t>
      </w:r>
      <w:r>
        <w:t xml:space="preserve"> </w:t>
      </w:r>
      <w:hyperlink r:id="rId20">
        <w:r>
          <w:rPr>
            <w:rStyle w:val="Hyperlink"/>
          </w:rPr>
          <w:t xml:space="preserve">11/1/21</w:t>
        </w:r>
      </w:hyperlink>
      <w:r>
        <w:t xml:space="preserve">; Congressional Quarterly,</w:t>
      </w:r>
      <w:r>
        <w:t xml:space="preserve"> </w:t>
      </w:r>
      <w:hyperlink r:id="rId21">
        <w:r>
          <w:rPr>
            <w:rStyle w:val="Hyperlink"/>
          </w:rPr>
          <w:t xml:space="preserve">11/1/21</w:t>
        </w:r>
      </w:hyperlink>
      <w:r>
        <w:t xml:space="preserve">; Congressional Actions,</w:t>
      </w:r>
      <w:r>
        <w:t xml:space="preserve"> </w:t>
      </w:r>
      <w:hyperlink r:id="rId22">
        <w:r>
          <w:rPr>
            <w:rStyle w:val="Hyperlink"/>
          </w:rPr>
          <w:t xml:space="preserve">H.R. 1619</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40.xml" TargetMode="External" /><Relationship Type="http://schemas.openxmlformats.org/officeDocument/2006/relationships/hyperlink" Id="rId21" Target="https://plus.cq.com/vote/2021/H/340?15" TargetMode="External" /><Relationship Type="http://schemas.openxmlformats.org/officeDocument/2006/relationships/hyperlink" Id="rId22" Target="https://www.congress.gov/bill/117th-congress/house-bill/1619/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40.xml" TargetMode="External" /><Relationship Type="http://schemas.openxmlformats.org/officeDocument/2006/relationships/hyperlink" Id="rId21" Target="https://plus.cq.com/vote/2021/H/340?15" TargetMode="External" /><Relationship Type="http://schemas.openxmlformats.org/officeDocument/2006/relationships/hyperlink" Id="rId22" Target="https://www.congress.gov/bill/117th-congress/house-bill/161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