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local-transit"/>
    <w:p>
      <w:pPr>
        <w:pStyle w:val="Heading1"/>
      </w:pPr>
      <w:r>
        <w:t xml:space="preserve">Local Transit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Schweikert Voted Against Providing $9.8 Billion For Local Transit, Which Would Help Underserved Communities With Mobility And Affordable Housing Access, And $8 Billion To Address Lead Contamination And Replace Water Lines.</w:t>
      </w:r>
      <w:r>
        <w:t xml:space="preserve"> </w:t>
      </w:r>
      <w:r>
        <w:t xml:space="preserve">In November 2021, Schweikert voted against the Build Back Better act which would, according to Congressional Quarterly,</w:t>
      </w:r>
      <w:r>
        <w:t xml:space="preserve"> </w:t>
      </w:r>
      <w:r>
        <w:t xml:space="preserve">“</w:t>
      </w:r>
      <w:r>
        <w:t xml:space="preserve">provide $9.8 billion for local transit projects to support mobility and affordable housing access disadvantaged communities and $9 billion for lead remediation and water line replacement projects.</w:t>
      </w:r>
      <w:r>
        <w:t xml:space="preserve">”</w:t>
      </w:r>
      <w:r>
        <w:t xml:space="preserve"> </w:t>
      </w:r>
      <w:r>
        <w:t xml:space="preserve">The vote was on passage. The House passed the bill by a 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2026-01-27T02:09:34Z</dcterms:created>
  <dcterms:modified xsi:type="dcterms:W3CDTF">2026-01-27T02:09:34Z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