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drones"/>
    <w:p>
      <w:pPr>
        <w:pStyle w:val="Heading1"/>
      </w:pPr>
      <w:r>
        <w:t xml:space="preserve">Drones</w:t>
      </w:r>
    </w:p>
    <w:bookmarkStart w:id="23" w:name="grants-for-critical-infrastructure"/>
    <w:p>
      <w:pPr>
        <w:pStyle w:val="Heading3"/>
      </w:pPr>
      <w:r>
        <w:t xml:space="preserve">Grants For Critical Infrastructure</w:t>
      </w:r>
    </w:p>
    <w:p>
      <w:pPr>
        <w:pStyle w:val="FirstParagraph"/>
      </w:pPr>
      <w:r>
        <w:rPr>
          <w:bCs/>
          <w:b/>
        </w:rPr>
        <w:t xml:space="preserve">2022: Schweikert Voted Against Establishing A Grant Program For State And Local Governments To Utilize Small Unmanned Drones To Help With Critical Infrastructure Projects And A Grant Program For Educational Institutions To Provide Workforce Training On Drones.</w:t>
      </w:r>
      <w:r>
        <w:t xml:space="preserve"> </w:t>
      </w:r>
      <w:r>
        <w:t xml:space="preserve">In September 2022, according to Congressional Quarterly, Schweikert voted against the Drone Infrastructure Inspection Grant Act, which would</w:t>
      </w:r>
      <w:r>
        <w:t xml:space="preserve"> </w:t>
      </w:r>
      <w:r>
        <w:t xml:space="preserve">“</w:t>
      </w:r>
      <w:r>
        <w:t xml:space="preserve">require the Transportation Department to establish a grant program for state and local governments to use small unmanned aircraft systems, or drones, to assist in critical infrastructure projects, as well as a grant program for educational institutions to offer workforce training related to drones. It would authorize $50 million annually in fiscal years 2023 and 2024 for each program and require the department, within one year of enactment, to report to Congress describing and evaluating the effectiveness of the grants to state and local governments.</w:t>
      </w:r>
      <w:r>
        <w:t xml:space="preserve">”</w:t>
      </w:r>
      <w:r>
        <w:t xml:space="preserve"> </w:t>
      </w:r>
      <w:r>
        <w:t xml:space="preserve">The vote was on passage. The House passed the bill by a vote of 308-110. The Senate did not take substantive action on the bill. [House Vote 422,</w:t>
      </w:r>
      <w:r>
        <w:t xml:space="preserve"> </w:t>
      </w:r>
      <w:hyperlink r:id="rId20">
        <w:r>
          <w:rPr>
            <w:rStyle w:val="Hyperlink"/>
          </w:rPr>
          <w:t xml:space="preserve">9/13/22</w:t>
        </w:r>
      </w:hyperlink>
      <w:r>
        <w:t xml:space="preserve">; Congressional Quarterly,</w:t>
      </w:r>
      <w:r>
        <w:t xml:space="preserve"> </w:t>
      </w:r>
      <w:hyperlink r:id="rId21">
        <w:r>
          <w:rPr>
            <w:rStyle w:val="Hyperlink"/>
          </w:rPr>
          <w:t xml:space="preserve">9/13/22</w:t>
        </w:r>
      </w:hyperlink>
      <w:r>
        <w:t xml:space="preserve">; Congressional Actions,</w:t>
      </w:r>
      <w:r>
        <w:t xml:space="preserve"> </w:t>
      </w:r>
      <w:hyperlink r:id="rId22">
        <w:r>
          <w:rPr>
            <w:rStyle w:val="Hyperlink"/>
          </w:rPr>
          <w:t xml:space="preserve">H.R. 5315</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422.xml" TargetMode="External" /><Relationship Type="http://schemas.openxmlformats.org/officeDocument/2006/relationships/hyperlink" Id="rId21" Target="https://plus.cq.com/vote/2022/H/421?20" TargetMode="External" /><Relationship Type="http://schemas.openxmlformats.org/officeDocument/2006/relationships/hyperlink" Id="rId22" Target="https://www.congress.gov/bill/117th-congress/house-bill/5315/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422.xml" TargetMode="External" /><Relationship Type="http://schemas.openxmlformats.org/officeDocument/2006/relationships/hyperlink" Id="rId21" Target="https://plus.cq.com/vote/2022/H/421?20" TargetMode="External" /><Relationship Type="http://schemas.openxmlformats.org/officeDocument/2006/relationships/hyperlink" Id="rId22" Target="https://www.congress.gov/bill/117th-congress/house-bill/5315/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2026-01-27T02:09:34Z</dcterms:created>
  <dcterms:modified xsi:type="dcterms:W3CDTF">2026-01-27T02:09:34Z</dcterms:modified>
</cp:coreProperties>
</file>

<file path=docProps/custom.xml><?xml version="1.0" encoding="utf-8"?>
<Properties xmlns="http://schemas.openxmlformats.org/officeDocument/2006/custom-properties" xmlns:vt="http://schemas.openxmlformats.org/officeDocument/2006/docPropsVTypes"/>
</file>