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rade"/>
    <w:p>
      <w:pPr>
        <w:pStyle w:val="Heading1"/>
      </w:pPr>
      <w:r>
        <w:t xml:space="preserve">Trade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t xml:space="preserve">International Monetary Fund</w:t>
      </w:r>
    </w:p>
    <w:p>
      <w:pPr>
        <w:numPr>
          <w:ilvl w:val="0"/>
          <w:numId w:val="1001"/>
        </w:numPr>
        <w:pStyle w:val="Compact"/>
      </w:pPr>
      <w:r>
        <w:t xml:space="preserve">International Trade Administration</w:t>
      </w:r>
    </w:p>
    <w:p>
      <w:pPr>
        <w:numPr>
          <w:ilvl w:val="0"/>
          <w:numId w:val="1001"/>
        </w:numPr>
        <w:pStyle w:val="Compact"/>
      </w:pPr>
      <w:r>
        <w:t xml:space="preserve">Sub-Saharan African Nations</w:t>
      </w:r>
    </w:p>
    <w:p>
      <w:pPr>
        <w:numPr>
          <w:ilvl w:val="0"/>
          <w:numId w:val="1001"/>
        </w:numPr>
        <w:pStyle w:val="Compact"/>
      </w:pPr>
      <w:r>
        <w:t xml:space="preserve">Trade Enforcement</w:t>
      </w:r>
    </w:p>
    <w:p>
      <w:pPr>
        <w:numPr>
          <w:ilvl w:val="0"/>
          <w:numId w:val="1001"/>
        </w:numPr>
        <w:pStyle w:val="Compact"/>
      </w:pPr>
      <w:r>
        <w:t xml:space="preserve">Trade Promotion Authority</w:t>
      </w:r>
    </w:p>
    <w:p>
      <w:pPr>
        <w:numPr>
          <w:ilvl w:val="0"/>
          <w:numId w:val="1001"/>
        </w:numPr>
        <w:pStyle w:val="Compact"/>
      </w:pPr>
      <w:r>
        <w:t xml:space="preserve">United States-Mexico-Canada Trade Agreement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