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tate-and-local-bonds"/>
    <w:p>
      <w:pPr>
        <w:pStyle w:val="Heading1"/>
      </w:pPr>
      <w:r>
        <w:t xml:space="preserve">State And Local Bonds</w:t>
      </w:r>
    </w:p>
    <w:bookmarkStart w:id="23"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Tax Break On Interest For State And Local Bonds.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Bill Repeals Tax Deduction For Interest On State And Local Bonds On Professional Sports Stadiums.</w:t>
      </w:r>
      <w:r>
        <w:t xml:space="preserve"> </w:t>
      </w:r>
      <w:r>
        <w:t xml:space="preserve">According to Congressional Quarterly,</w:t>
      </w:r>
      <w:r>
        <w:t xml:space="preserve"> </w:t>
      </w:r>
      <w:r>
        <w:t xml:space="preserve">“</w:t>
      </w:r>
      <w:r>
        <w:t xml:space="preserve">State and Local Bonds — Subjects to federal taxation the interest paid from any new private activity bonds (PABs) issued in the future by state and local governments to finance the activities of, or loans to, private parties, and it also repeals the federal tax exemption on advance refunding bonds. It also subjects to federal taxation the interest paid on state and local bonds issued to build professional sports stadiums.</w:t>
      </w:r>
      <w:r>
        <w:t xml:space="preserve">”</w:t>
      </w:r>
      <w:r>
        <w:t xml:space="preserve"> </w:t>
      </w:r>
      <w:r>
        <w:t xml:space="preserve">[Congressional Quarterly,</w:t>
      </w:r>
      <w:r>
        <w:t xml:space="preserve"> </w:t>
      </w:r>
      <w:hyperlink r:id="rId21">
        <w:r>
          <w:rPr>
            <w:rStyle w:val="Hyperlink"/>
          </w:rPr>
          <w:t xml:space="preserve">11/15/17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