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real-estate"/>
    <w:p>
      <w:pPr>
        <w:pStyle w:val="Heading1"/>
      </w:pPr>
      <w:r>
        <w:t xml:space="preserve">Real Estate</w:t>
      </w:r>
    </w:p>
    <w:p>
      <w:pPr>
        <w:pStyle w:val="FirstParagraph"/>
      </w:pPr>
      <w:r>
        <w:rPr>
          <w:bCs/>
          <w:b/>
        </w:rPr>
        <w:t xml:space="preserve">2015: Schweikert Voted For Modifying Real Estate Investment Funds, Including Doubling The Maximum Stock Ownership Exempted From The Foreign Investment In Real Property Tax Act As Part Of A Larger Tax Extender Passage.</w:t>
      </w:r>
      <w:r>
        <w:t xml:space="preserve"> </w:t>
      </w:r>
      <w:r>
        <w:t xml:space="preserve">In December 2015, Schweikert voted for modifying real estate investment funds. According to Congressional Quarterly, the legislation</w:t>
      </w:r>
      <w:r>
        <w:t xml:space="preserve"> </w:t>
      </w:r>
      <w:r>
        <w:t xml:space="preserve">“</w:t>
      </w:r>
      <w:r>
        <w:t xml:space="preserve">include[d] a range of provisions addressing real estate investment trusts (REITs), including doubling the maximum stock ownership exempted from the Foreign Investment in Real Property Tax Act and restrictions on tax-free spinoffs involving REITs. JCT estimates that these REIT provisions would cost a net $1 billion over 10 years.</w:t>
      </w:r>
      <w:r>
        <w:t xml:space="preserve">”</w:t>
      </w:r>
      <w:r>
        <w:t xml:space="preserve"> </w:t>
      </w:r>
      <w:r>
        <w:t xml:space="preserve">The underlying measure would</w:t>
      </w:r>
      <w:r>
        <w:t xml:space="preserve"> </w:t>
      </w:r>
      <w:r>
        <w:t xml:space="preserve">“</w:t>
      </w:r>
      <w:r>
        <w:t xml:space="preserve">retroactively [renew] for the current 2015 tax year most of the expired provisions and further extends them for varying periods, including by making more than a dozen permanent and extending most others for two years (2015 and 2016).</w:t>
      </w:r>
      <w:r>
        <w:t xml:space="preserve">”</w:t>
      </w:r>
      <w:r>
        <w:t xml:space="preserve"> </w:t>
      </w:r>
      <w:r>
        <w:t xml:space="preserve">The vote was on concurring in the Senate amendment to the bill with an amendment. The House passed the amendment by a vote of 318 to 109. The legislation was later combined with an Omnibus appropriations bill. The Senate passed the larger measure and the president signed it. [House Vote 703,</w:t>
      </w:r>
      <w:r>
        <w:t xml:space="preserve"> </w:t>
      </w:r>
      <w:hyperlink r:id="rId20">
        <w:r>
          <w:rPr>
            <w:rStyle w:val="Hyperlink"/>
          </w:rPr>
          <w:t xml:space="preserve">12/17/15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12/16/15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2029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703.xml" TargetMode="External" /><Relationship Type="http://schemas.openxmlformats.org/officeDocument/2006/relationships/hyperlink" Id="rId21" Target="http://www.cq.com/doc/har-4808184?7" TargetMode="External" /><Relationship Type="http://schemas.openxmlformats.org/officeDocument/2006/relationships/hyperlink" Id="rId22" Target="https://www.congress.gov/bill/114th-congress/house-bill/202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703.xml" TargetMode="External" /><Relationship Type="http://schemas.openxmlformats.org/officeDocument/2006/relationships/hyperlink" Id="rId21" Target="http://www.cq.com/doc/har-4808184?7" TargetMode="External" /><Relationship Type="http://schemas.openxmlformats.org/officeDocument/2006/relationships/hyperlink" Id="rId22" Target="https://www.congress.gov/bill/114th-congress/house-bill/202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2026-01-27T02:09:46Z</dcterms:created>
  <dcterms:modified xsi:type="dcterms:W3CDTF">2026-01-27T02:09:46Z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