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active-financing-exemption"/>
    <w:p>
      <w:pPr>
        <w:pStyle w:val="Heading1"/>
      </w:pPr>
      <w:r>
        <w:t xml:space="preserve">Active Financing Exemption</w:t>
      </w:r>
    </w:p>
    <w:p>
      <w:pPr>
        <w:pStyle w:val="FirstParagraph"/>
      </w:pPr>
      <w:r>
        <w:rPr>
          <w:bCs/>
          <w:b/>
        </w:rPr>
        <w:t xml:space="preserve">2015: Schweikert Voted For Extending Permanently The Active Financing Exemption As Part Of A Larger Tax Extender Passage.</w:t>
      </w:r>
      <w:r>
        <w:t xml:space="preserve"> </w:t>
      </w:r>
      <w:r>
        <w:t xml:space="preserve">In December 2015, Schweikert voted to extend permanently the active financing exemption. According to Congressional Quarterly, the legislation would have</w:t>
      </w:r>
      <w:r>
        <w:t xml:space="preserve"> </w:t>
      </w:r>
      <w:r>
        <w:t xml:space="preserve">“</w:t>
      </w:r>
      <w:r>
        <w:t xml:space="preserve">The measure makes permanent the ability of financial services companies and manufacturers with financing arms to defer taxes on income earned overseas from active financing operations. The exemption for this type of foreign income is credited with keeping U.S. manufacturing, financial services and insurance companies competitive with their foreign counterparts. JCT estimates that this provision would cost $78 billion over 10 years.</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3.xml" TargetMode="External" /><Relationship Type="http://schemas.openxmlformats.org/officeDocument/2006/relationships/hyperlink" Id="rId21" Target="http://www.cq.com/doc/har-4808184?7" TargetMode="External" /><Relationship Type="http://schemas.openxmlformats.org/officeDocument/2006/relationships/hyperlink" Id="rId22"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3.xml" TargetMode="External" /><Relationship Type="http://schemas.openxmlformats.org/officeDocument/2006/relationships/hyperlink" Id="rId21" Target="http://www.cq.com/doc/har-4808184?7" TargetMode="External" /><Relationship Type="http://schemas.openxmlformats.org/officeDocument/2006/relationships/hyperlink" Id="rId22"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