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axes"/>
    <w:p>
      <w:pPr>
        <w:pStyle w:val="Heading1"/>
      </w:pPr>
      <w:r>
        <w:t xml:space="preserve">Taxes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2024 Tax Package</w:t>
      </w:r>
    </w:p>
    <w:p>
      <w:pPr>
        <w:numPr>
          <w:ilvl w:val="0"/>
          <w:numId w:val="1001"/>
        </w:numPr>
        <w:pStyle w:val="Compact"/>
      </w:pPr>
      <w:r>
        <w:t xml:space="preserve">Active Financing Exemption</w:t>
      </w:r>
    </w:p>
    <w:p>
      <w:pPr>
        <w:numPr>
          <w:ilvl w:val="0"/>
          <w:numId w:val="1001"/>
        </w:numPr>
        <w:pStyle w:val="Compact"/>
      </w:pPr>
      <w:r>
        <w:t xml:space="preserve">Alternative Minimum Tax</w:t>
      </w:r>
    </w:p>
    <w:p>
      <w:pPr>
        <w:numPr>
          <w:ilvl w:val="0"/>
          <w:numId w:val="1001"/>
        </w:numPr>
        <w:pStyle w:val="Compact"/>
      </w:pPr>
      <w:r>
        <w:t xml:space="preserve">Bonus Depreciation</w:t>
      </w:r>
    </w:p>
    <w:p>
      <w:pPr>
        <w:numPr>
          <w:ilvl w:val="0"/>
          <w:numId w:val="1001"/>
        </w:numPr>
        <w:pStyle w:val="Compact"/>
      </w:pPr>
      <w:r>
        <w:t xml:space="preserve">Charitable Contributions</w:t>
      </w:r>
    </w:p>
    <w:p>
      <w:pPr>
        <w:numPr>
          <w:ilvl w:val="0"/>
          <w:numId w:val="1001"/>
        </w:numPr>
        <w:pStyle w:val="Compact"/>
      </w:pPr>
      <w:r>
        <w:t xml:space="preserve">Child Tax Credit</w:t>
      </w:r>
    </w:p>
    <w:p>
      <w:pPr>
        <w:numPr>
          <w:ilvl w:val="0"/>
          <w:numId w:val="1001"/>
        </w:numPr>
        <w:pStyle w:val="Compact"/>
      </w:pPr>
      <w:r>
        <w:t xml:space="preserve">Corporate Inversions</w:t>
      </w:r>
    </w:p>
    <w:p>
      <w:pPr>
        <w:numPr>
          <w:ilvl w:val="0"/>
          <w:numId w:val="1001"/>
        </w:numPr>
        <w:pStyle w:val="Compact"/>
      </w:pPr>
      <w:r>
        <w:t xml:space="preserve">Corporate Tax Credits</w:t>
      </w:r>
    </w:p>
    <w:p>
      <w:pPr>
        <w:numPr>
          <w:ilvl w:val="0"/>
          <w:numId w:val="1001"/>
        </w:numPr>
        <w:pStyle w:val="Compact"/>
      </w:pPr>
      <w:r>
        <w:t xml:space="preserve">Corporate Taxes</w:t>
      </w:r>
    </w:p>
    <w:p>
      <w:pPr>
        <w:numPr>
          <w:ilvl w:val="0"/>
          <w:numId w:val="1001"/>
        </w:numPr>
        <w:pStyle w:val="Compact"/>
      </w:pPr>
      <w:r>
        <w:t xml:space="preserve">Earned Income Tax Credit</w:t>
      </w:r>
    </w:p>
    <w:p>
      <w:pPr>
        <w:numPr>
          <w:ilvl w:val="0"/>
          <w:numId w:val="1001"/>
        </w:numPr>
        <w:pStyle w:val="Compact"/>
      </w:pPr>
      <w:r>
        <w:t xml:space="preserve">Estate Tax</w:t>
      </w:r>
    </w:p>
    <w:p>
      <w:pPr>
        <w:numPr>
          <w:ilvl w:val="0"/>
          <w:numId w:val="1001"/>
        </w:numPr>
        <w:pStyle w:val="Compact"/>
      </w:pPr>
      <w:r>
        <w:t xml:space="preserve">Excise Taxes</w:t>
      </w:r>
    </w:p>
    <w:p>
      <w:pPr>
        <w:numPr>
          <w:ilvl w:val="0"/>
          <w:numId w:val="1001"/>
        </w:numPr>
        <w:pStyle w:val="Compact"/>
      </w:pPr>
      <w:r>
        <w:t xml:space="preserve">Higher Education Tax Credits</w:t>
      </w:r>
    </w:p>
    <w:p>
      <w:pPr>
        <w:numPr>
          <w:ilvl w:val="0"/>
          <w:numId w:val="1001"/>
        </w:numPr>
        <w:pStyle w:val="Compact"/>
      </w:pPr>
      <w:r>
        <w:t xml:space="preserve">Income Taxes</w:t>
      </w:r>
    </w:p>
    <w:p>
      <w:pPr>
        <w:numPr>
          <w:ilvl w:val="0"/>
          <w:numId w:val="1001"/>
        </w:numPr>
        <w:pStyle w:val="Compact"/>
      </w:pPr>
      <w:r>
        <w:t xml:space="preserve">Individual Income Tax</w:t>
      </w:r>
    </w:p>
    <w:p>
      <w:pPr>
        <w:numPr>
          <w:ilvl w:val="0"/>
          <w:numId w:val="1001"/>
        </w:numPr>
        <w:pStyle w:val="Compact"/>
      </w:pPr>
      <w:r>
        <w:t xml:space="preserve">Internal Revenue Service</w:t>
      </w:r>
    </w:p>
    <w:p>
      <w:pPr>
        <w:numPr>
          <w:ilvl w:val="0"/>
          <w:numId w:val="1001"/>
        </w:numPr>
        <w:pStyle w:val="Compact"/>
      </w:pPr>
      <w:r>
        <w:t xml:space="preserve">Internet Taxes</w:t>
      </w:r>
    </w:p>
    <w:p>
      <w:pPr>
        <w:numPr>
          <w:ilvl w:val="0"/>
          <w:numId w:val="1001"/>
        </w:numPr>
        <w:pStyle w:val="Compact"/>
      </w:pPr>
      <w:r>
        <w:t xml:space="preserve">IRS</w:t>
      </w:r>
    </w:p>
    <w:p>
      <w:pPr>
        <w:numPr>
          <w:ilvl w:val="0"/>
          <w:numId w:val="1001"/>
        </w:numPr>
        <w:pStyle w:val="Compact"/>
      </w:pPr>
      <w:r>
        <w:t xml:space="preserve">Johnson Amendment</w:t>
      </w:r>
    </w:p>
    <w:p>
      <w:pPr>
        <w:numPr>
          <w:ilvl w:val="0"/>
          <w:numId w:val="1001"/>
        </w:numPr>
        <w:pStyle w:val="Compact"/>
      </w:pPr>
      <w:r>
        <w:t xml:space="preserve">Mortgage Interest Deduction</w:t>
      </w:r>
    </w:p>
    <w:p>
      <w:pPr>
        <w:numPr>
          <w:ilvl w:val="0"/>
          <w:numId w:val="1001"/>
        </w:numPr>
        <w:pStyle w:val="Compact"/>
      </w:pPr>
      <w:r>
        <w:t xml:space="preserve">Payroll Tax</w:t>
      </w:r>
    </w:p>
    <w:p>
      <w:pPr>
        <w:numPr>
          <w:ilvl w:val="0"/>
          <w:numId w:val="1001"/>
        </w:numPr>
        <w:pStyle w:val="Compact"/>
      </w:pPr>
      <w:r>
        <w:t xml:space="preserve">Private Activity Bonds</w:t>
      </w:r>
    </w:p>
    <w:p>
      <w:pPr>
        <w:numPr>
          <w:ilvl w:val="0"/>
          <w:numId w:val="1001"/>
        </w:numPr>
        <w:pStyle w:val="Compact"/>
      </w:pPr>
      <w:r>
        <w:t xml:space="preserve">R&amp;D Tax Credit</w:t>
      </w:r>
    </w:p>
    <w:p>
      <w:pPr>
        <w:numPr>
          <w:ilvl w:val="0"/>
          <w:numId w:val="1001"/>
        </w:numPr>
        <w:pStyle w:val="Compact"/>
      </w:pPr>
      <w:r>
        <w:t xml:space="preserve">Real Estate</w:t>
      </w:r>
    </w:p>
    <w:p>
      <w:pPr>
        <w:numPr>
          <w:ilvl w:val="0"/>
          <w:numId w:val="1001"/>
        </w:numPr>
        <w:pStyle w:val="Compact"/>
      </w:pPr>
      <w:r>
        <w:t xml:space="preserve">Small Business Tax Deductions</w:t>
      </w:r>
    </w:p>
    <w:p>
      <w:pPr>
        <w:numPr>
          <w:ilvl w:val="0"/>
          <w:numId w:val="1001"/>
        </w:numPr>
        <w:pStyle w:val="Compact"/>
      </w:pPr>
      <w:r>
        <w:t xml:space="preserve">State And Local Bonds</w:t>
      </w:r>
    </w:p>
    <w:p>
      <w:pPr>
        <w:numPr>
          <w:ilvl w:val="0"/>
          <w:numId w:val="1001"/>
        </w:numPr>
        <w:pStyle w:val="Compact"/>
      </w:pPr>
      <w:r>
        <w:t xml:space="preserve">State And Local Sales Tax Deduction</w:t>
      </w:r>
    </w:p>
    <w:p>
      <w:pPr>
        <w:numPr>
          <w:ilvl w:val="0"/>
          <w:numId w:val="1001"/>
        </w:numPr>
        <w:pStyle w:val="Compact"/>
      </w:pPr>
      <w:r>
        <w:t xml:space="preserve">State And Local Tax Deduction</w:t>
      </w:r>
    </w:p>
    <w:p>
      <w:pPr>
        <w:numPr>
          <w:ilvl w:val="0"/>
          <w:numId w:val="1001"/>
        </w:numPr>
        <w:pStyle w:val="Compact"/>
      </w:pPr>
      <w:r>
        <w:t xml:space="preserve">Tax Brackets</w:t>
      </w:r>
    </w:p>
    <w:p>
      <w:pPr>
        <w:numPr>
          <w:ilvl w:val="0"/>
          <w:numId w:val="1001"/>
        </w:numPr>
        <w:pStyle w:val="Compact"/>
      </w:pPr>
      <w:r>
        <w:t xml:space="preserve">Tax Compliance</w:t>
      </w:r>
    </w:p>
    <w:p>
      <w:pPr>
        <w:numPr>
          <w:ilvl w:val="0"/>
          <w:numId w:val="1001"/>
        </w:numPr>
        <w:pStyle w:val="Compact"/>
      </w:pPr>
      <w:r>
        <w:t xml:space="preserve">Tax Exemptions</w:t>
      </w:r>
    </w:p>
    <w:p>
      <w:pPr>
        <w:numPr>
          <w:ilvl w:val="0"/>
          <w:numId w:val="1001"/>
        </w:numPr>
        <w:pStyle w:val="Compact"/>
      </w:pPr>
      <w:r>
        <w:t xml:space="preserve">Tax Penalties</w:t>
      </w:r>
    </w:p>
    <w:p>
      <w:pPr>
        <w:numPr>
          <w:ilvl w:val="0"/>
          <w:numId w:val="1001"/>
        </w:numPr>
        <w:pStyle w:val="Compact"/>
      </w:pPr>
      <w:r>
        <w:t xml:space="preserve">Tax Rates</w:t>
      </w:r>
    </w:p>
    <w:p>
      <w:pPr>
        <w:numPr>
          <w:ilvl w:val="0"/>
          <w:numId w:val="1001"/>
        </w:numPr>
        <w:pStyle w:val="Compact"/>
      </w:pPr>
      <w:r>
        <w:t xml:space="preserve">Tax Relief</w:t>
      </w:r>
    </w:p>
    <w:p>
      <w:pPr>
        <w:numPr>
          <w:ilvl w:val="0"/>
          <w:numId w:val="1001"/>
        </w:numPr>
        <w:pStyle w:val="Compact"/>
      </w:pPr>
      <w:r>
        <w:t xml:space="preserve">Tax Revenue</w:t>
      </w:r>
    </w:p>
    <w:p>
      <w:pPr>
        <w:numPr>
          <w:ilvl w:val="0"/>
          <w:numId w:val="1001"/>
        </w:numPr>
        <w:pStyle w:val="Compact"/>
      </w:pPr>
      <w:r>
        <w:t xml:space="preserve">Teacher’s Expense Deduction</w:t>
      </w:r>
    </w:p>
    <w:p>
      <w:pPr>
        <w:numPr>
          <w:ilvl w:val="0"/>
          <w:numId w:val="1001"/>
        </w:numPr>
        <w:pStyle w:val="Compact"/>
      </w:pPr>
      <w:r>
        <w:t xml:space="preserve">Trump Tax Reform</w:t>
      </w:r>
    </w:p>
    <w:p>
      <w:pPr>
        <w:numPr>
          <w:ilvl w:val="0"/>
          <w:numId w:val="1001"/>
        </w:numPr>
        <w:pStyle w:val="Compact"/>
      </w:pPr>
      <w:r>
        <w:t xml:space="preserve">Tuition Tax Credit</w:t>
      </w:r>
    </w:p>
    <w:p>
      <w:pPr>
        <w:numPr>
          <w:ilvl w:val="0"/>
          <w:numId w:val="1001"/>
        </w:numPr>
        <w:pStyle w:val="Compact"/>
      </w:pPr>
      <w:r>
        <w:t xml:space="preserve">Work Opportunity Tax Credit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