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seniors"/>
    <w:p>
      <w:pPr>
        <w:pStyle w:val="Heading1"/>
      </w:pPr>
      <w:r>
        <w:t xml:space="preserve">Seniors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Alzheimer’s</w:t>
      </w:r>
    </w:p>
    <w:p>
      <w:pPr>
        <w:numPr>
          <w:ilvl w:val="0"/>
          <w:numId w:val="1001"/>
        </w:numPr>
        <w:pStyle w:val="Compact"/>
      </w:pPr>
      <w:r>
        <w:t xml:space="preserve">Medicare</w:t>
      </w:r>
    </w:p>
    <w:p>
      <w:pPr>
        <w:numPr>
          <w:ilvl w:val="0"/>
          <w:numId w:val="1001"/>
        </w:numPr>
        <w:pStyle w:val="Compact"/>
      </w:pPr>
      <w:r>
        <w:t xml:space="preserve">Retirement</w:t>
      </w:r>
    </w:p>
    <w:p>
      <w:pPr>
        <w:numPr>
          <w:ilvl w:val="0"/>
          <w:numId w:val="1001"/>
        </w:numPr>
        <w:pStyle w:val="Compact"/>
      </w:pPr>
      <w:r>
        <w:t xml:space="preserve">Social Security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