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ederal-communications-commission"/>
    <w:p>
      <w:pPr>
        <w:pStyle w:val="Heading1"/>
      </w:pPr>
      <w:r>
        <w:t xml:space="preserve">Federal Communications Commission</w:t>
      </w:r>
    </w:p>
    <w:bookmarkStart w:id="23" w:name="robocalls"/>
    <w:p>
      <w:pPr>
        <w:pStyle w:val="Heading3"/>
      </w:pPr>
      <w:r>
        <w:t xml:space="preserve">Robocalls</w:t>
      </w:r>
    </w:p>
    <w:p>
      <w:pPr>
        <w:pStyle w:val="FirstParagraph"/>
      </w:pPr>
      <w:r>
        <w:rPr>
          <w:bCs/>
          <w:b/>
        </w:rPr>
        <w:t xml:space="preserve">2019: Schweikert Voted For Regulating Robocalls Through The FCC.</w:t>
      </w:r>
      <w:r>
        <w:t xml:space="preserve"> </w:t>
      </w:r>
      <w:r>
        <w:t xml:space="preserve">In July 2019, Schweikert voted for a bill that would, according to Congressional Quarterly,</w:t>
      </w:r>
      <w:r>
        <w:t xml:space="preserve"> </w:t>
      </w:r>
      <w:r>
        <w:t xml:space="preserve">“</w:t>
      </w:r>
      <w:r>
        <w:t xml:space="preserve">require the Federal Communications Commission to implement certain consumer regulations related to robocalls, or mass telephone calls placed by an automatic dialer, including regulations that would require phone companies to offer call authentication technology at no cost to consumers. It would extend, from two years to four years, the time period during which the FCC and law enforcement agencies could prosecute illegal robocallers following the commission of such a crime. It would require the FCC to submit evidence of certain robocall violations to the Justice Department for potential criminal prosecution. It would require the FCC to work with federal and state law enforcement agencies and with foreign governments to address one-ring scams and incentivize phone companies to stop calls made to perpetrate one-ring scams. It would require the Justice Department and the FCC to convene an interagency task force to study how best to enforce existing law with respect to restrictions on the use of automated telephone equipment. It would require the FCC to submit a series of reports to Congress on robocalls and the transmission of misleading or inaccurate caller identification information.</w:t>
      </w:r>
      <w:r>
        <w:t xml:space="preserve">”</w:t>
      </w:r>
      <w:r>
        <w:t xml:space="preserve"> </w:t>
      </w:r>
      <w:r>
        <w:t xml:space="preserve">The vote was on a motion to suspend the rules and pass the bill. The House agreed to the motion and passed the bill by a vote of 429-3. The bill was never taken up in the Senate. [House Vote 502,</w:t>
      </w:r>
      <w:r>
        <w:t xml:space="preserve"> </w:t>
      </w:r>
      <w:hyperlink r:id="rId20">
        <w:r>
          <w:rPr>
            <w:rStyle w:val="Hyperlink"/>
          </w:rPr>
          <w:t xml:space="preserve">7/24/19</w:t>
        </w:r>
      </w:hyperlink>
      <w:r>
        <w:t xml:space="preserve">; Congressional Quarterly,</w:t>
      </w:r>
      <w:r>
        <w:t xml:space="preserve"> </w:t>
      </w:r>
      <w:hyperlink r:id="rId21">
        <w:r>
          <w:rPr>
            <w:rStyle w:val="Hyperlink"/>
          </w:rPr>
          <w:t xml:space="preserve">7/24/19</w:t>
        </w:r>
      </w:hyperlink>
      <w:r>
        <w:t xml:space="preserve">; Congressional Actions,</w:t>
      </w:r>
      <w:r>
        <w:t xml:space="preserve"> </w:t>
      </w:r>
      <w:hyperlink r:id="rId22">
        <w:r>
          <w:rPr>
            <w:rStyle w:val="Hyperlink"/>
          </w:rPr>
          <w:t xml:space="preserve">H.R.3375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502.xml" TargetMode="External" /><Relationship Type="http://schemas.openxmlformats.org/officeDocument/2006/relationships/hyperlink" Id="rId21" Target="https://plus.cq.com/vote/2019/H/502?7" TargetMode="External" /><Relationship Type="http://schemas.openxmlformats.org/officeDocument/2006/relationships/hyperlink" Id="rId22" Target="https://www.congress.gov/bill/116th-congress/house-bill/337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502.xml" TargetMode="External" /><Relationship Type="http://schemas.openxmlformats.org/officeDocument/2006/relationships/hyperlink" Id="rId21" Target="https://plus.cq.com/vote/2019/H/502?7" TargetMode="External" /><Relationship Type="http://schemas.openxmlformats.org/officeDocument/2006/relationships/hyperlink" Id="rId22" Target="https://www.congress.gov/bill/116th-congress/house-bill/337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