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gbtq"/>
    <w:p>
      <w:pPr>
        <w:pStyle w:val="Heading1"/>
      </w:pPr>
      <w:r>
        <w:t xml:space="preserve">LGBTQ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Anti-Discrimination</w:t>
      </w:r>
    </w:p>
    <w:p>
      <w:pPr>
        <w:numPr>
          <w:ilvl w:val="0"/>
          <w:numId w:val="1001"/>
        </w:numPr>
        <w:pStyle w:val="Compact"/>
      </w:pPr>
      <w:r>
        <w:t xml:space="preserve">Domestic Violence</w:t>
      </w:r>
    </w:p>
    <w:p>
      <w:pPr>
        <w:numPr>
          <w:ilvl w:val="0"/>
          <w:numId w:val="1001"/>
        </w:numPr>
        <w:pStyle w:val="Compact"/>
      </w:pPr>
      <w:r>
        <w:t xml:space="preserve">Marriage Equality</w:t>
      </w:r>
    </w:p>
    <w:p>
      <w:pPr>
        <w:numPr>
          <w:ilvl w:val="0"/>
          <w:numId w:val="1001"/>
        </w:numPr>
        <w:pStyle w:val="Compact"/>
      </w:pPr>
      <w:r>
        <w:t xml:space="preserve">Transgender Individuals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