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aid-leave"/>
    <w:p>
      <w:pPr>
        <w:pStyle w:val="Heading1"/>
      </w:pPr>
      <w:r>
        <w:t xml:space="preserve">Paid Leave</w:t>
      </w:r>
    </w:p>
    <w:bookmarkStart w:id="23" w:name="paid-family-and-medical-leave"/>
    <w:p>
      <w:pPr>
        <w:pStyle w:val="Heading3"/>
      </w:pPr>
      <w:r>
        <w:t xml:space="preserve">Paid Family And Medical Leave</w:t>
      </w:r>
    </w:p>
    <w:p>
      <w:pPr>
        <w:pStyle w:val="FirstParagraph"/>
      </w:pPr>
      <w:r>
        <w:rPr>
          <w:bCs/>
          <w:b/>
        </w:rPr>
        <w:t xml:space="preserve">2021: Schweikert Voted Against Providing Paid Family and Medical Leave For Up To Four Weeks Per Year, Starting In 2024.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establish a paid family and medical leave benefit for up to four weeks per year, beginning in 2024.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2026-01-27T02:09:47Z</dcterms:created>
  <dcterms:modified xsi:type="dcterms:W3CDTF">2026-01-27T02:09:47Z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