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federal-judgeships"/>
    <w:p>
      <w:pPr>
        <w:pStyle w:val="Heading1"/>
      </w:pPr>
      <w:r>
        <w:t xml:space="preserve">Federal Judgeships</w:t>
      </w:r>
    </w:p>
    <w:bookmarkStart w:id="23" w:name="authorize-new-judgeships"/>
    <w:p>
      <w:pPr>
        <w:pStyle w:val="Heading3"/>
      </w:pPr>
      <w:r>
        <w:t xml:space="preserve">Authorize New Judgeships</w:t>
      </w:r>
    </w:p>
    <w:p>
      <w:pPr>
        <w:pStyle w:val="FirstParagraph"/>
      </w:pPr>
      <w:r>
        <w:rPr>
          <w:bCs/>
          <w:b/>
        </w:rPr>
        <w:t xml:space="preserve">2024: Schweikert Voted To Authorize 66 New Federal Judgeships.</w:t>
      </w:r>
      <w:r>
        <w:t xml:space="preserve"> </w:t>
      </w:r>
      <w:r>
        <w:t xml:space="preserve">In December 2024, Schweikert voted for , according to Congressional Quarterly,</w:t>
      </w:r>
      <w:r>
        <w:t xml:space="preserve"> </w:t>
      </w:r>
      <w:r>
        <w:t xml:space="preserve">“</w:t>
      </w:r>
      <w:r>
        <w:t xml:space="preserve">the bill that would authorize the appointment of 66 new federal judgeships to be phased in from 2025 to 2035. Of the appointments, 63 would be permanent and three would be temporary. The measure would authorize a total of $448 million to implement the addition of judges and provide staffing through fiscal 2035. The bill would provide specific amounts for each fiscal year and would enable the authorizations to increase each year by the rate of annual inflation. The bill also would specify additional cities for certain federal district courts in California, Texas and Utah to hold proceedings.</w:t>
      </w:r>
      <w:r>
        <w:t xml:space="preserve">”</w:t>
      </w:r>
      <w:r>
        <w:t xml:space="preserve"> </w:t>
      </w:r>
      <w:r>
        <w:t xml:space="preserve">The House passed the bill by a vote of 236 to 173. [House Vote 501,</w:t>
      </w:r>
      <w:r>
        <w:t xml:space="preserve"> </w:t>
      </w:r>
      <w:hyperlink r:id="rId20">
        <w:r>
          <w:rPr>
            <w:rStyle w:val="Hyperlink"/>
          </w:rPr>
          <w:t xml:space="preserve">12/12/24</w:t>
        </w:r>
      </w:hyperlink>
      <w:r>
        <w:t xml:space="preserve">; Congressional Quarterly,</w:t>
      </w:r>
      <w:r>
        <w:t xml:space="preserve"> </w:t>
      </w:r>
      <w:hyperlink r:id="rId21">
        <w:r>
          <w:rPr>
            <w:rStyle w:val="Hyperlink"/>
          </w:rPr>
          <w:t xml:space="preserve">12/12/24</w:t>
        </w:r>
      </w:hyperlink>
      <w:r>
        <w:t xml:space="preserve">; Congressional Actions,</w:t>
      </w:r>
      <w:r>
        <w:t xml:space="preserve"> </w:t>
      </w:r>
      <w:hyperlink r:id="rId22">
        <w:r>
          <w:rPr>
            <w:rStyle w:val="Hyperlink"/>
          </w:rPr>
          <w:t xml:space="preserve">S. 4199</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501.xml" TargetMode="External" /><Relationship Type="http://schemas.openxmlformats.org/officeDocument/2006/relationships/hyperlink" Id="rId21" Target="https://plus.cq.com/vote/2024/H/501?4" TargetMode="External" /><Relationship Type="http://schemas.openxmlformats.org/officeDocument/2006/relationships/hyperlink" Id="rId22" Target="https://www.congress.gov/bill/118th-congress/senate-bill/4199/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501.xml" TargetMode="External" /><Relationship Type="http://schemas.openxmlformats.org/officeDocument/2006/relationships/hyperlink" Id="rId21" Target="https://plus.cq.com/vote/2024/H/501?4" TargetMode="External" /><Relationship Type="http://schemas.openxmlformats.org/officeDocument/2006/relationships/hyperlink" Id="rId22" Target="https://www.congress.gov/bill/118th-congress/senate-bill/419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