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ligibility"/>
    <w:p>
      <w:pPr>
        <w:pStyle w:val="Heading1"/>
      </w:pPr>
      <w:r>
        <w:t xml:space="preserve">Eligibility</w:t>
      </w:r>
    </w:p>
    <w:bookmarkStart w:id="23" w:name="hamas-militants"/>
    <w:p>
      <w:pPr>
        <w:pStyle w:val="Heading3"/>
      </w:pPr>
      <w:r>
        <w:t xml:space="preserve">Hamas Militants</w:t>
      </w:r>
    </w:p>
    <w:p>
      <w:pPr>
        <w:pStyle w:val="FirstParagraph"/>
      </w:pPr>
      <w:r>
        <w:rPr>
          <w:bCs/>
          <w:b/>
        </w:rPr>
        <w:t xml:space="preserve">2024: Schweikert Voted To Make Hamas Militants Ineligible For Immigration.</w:t>
      </w:r>
      <w:r>
        <w:t xml:space="preserve"> </w:t>
      </w:r>
      <w:r>
        <w:t xml:space="preserve">In January 2024, Schweikert voted for , according to Congressional Quarterly, the</w:t>
      </w:r>
      <w:r>
        <w:t xml:space="preserve"> </w:t>
      </w:r>
      <w:r>
        <w:t xml:space="preserve">“</w:t>
      </w:r>
      <w:r>
        <w:t xml:space="preserve">bill, as amended, that would that would modify immigration and nationality law to provide that migrants who have carried out, participated in, planned, financed, provided material support or facilitated any attacks against Israel by Hamas beginning on Oct. 7, 2023, would be inadmissible and ineligible for relief. As amended, the bill would require the Department of Homeland Security to submit an annual report to Congress on the number of individuals found to be inadmissible and deportable each year as a result of the bill's provisions.</w:t>
      </w:r>
      <w:r>
        <w:t xml:space="preserve">”</w:t>
      </w:r>
      <w:r>
        <w:t xml:space="preserve"> </w:t>
      </w:r>
      <w:r>
        <w:t xml:space="preserve">The vote was on passage. The House passed the bill by a vote of 422 to 2. [House Vote 28,</w:t>
      </w:r>
      <w:r>
        <w:t xml:space="preserve"> </w:t>
      </w:r>
      <w:hyperlink r:id="rId20">
        <w:r>
          <w:rPr>
            <w:rStyle w:val="Hyperlink"/>
          </w:rPr>
          <w:t xml:space="preserve">1/31/24</w:t>
        </w:r>
      </w:hyperlink>
      <w:r>
        <w:t xml:space="preserve">; Congressional Quarterly,</w:t>
      </w:r>
      <w:r>
        <w:t xml:space="preserve"> </w:t>
      </w:r>
      <w:hyperlink r:id="rId21">
        <w:r>
          <w:rPr>
            <w:rStyle w:val="Hyperlink"/>
          </w:rPr>
          <w:t xml:space="preserve">1/31/24</w:t>
        </w:r>
      </w:hyperlink>
      <w:r>
        <w:t xml:space="preserve">; Congressional Actions,</w:t>
      </w:r>
      <w:r>
        <w:t xml:space="preserve"> </w:t>
      </w:r>
      <w:hyperlink r:id="rId22">
        <w:r>
          <w:rPr>
            <w:rStyle w:val="Hyperlink"/>
          </w:rPr>
          <w:t xml:space="preserve">H.R. 6679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28.xml" TargetMode="External" /><Relationship Type="http://schemas.openxmlformats.org/officeDocument/2006/relationships/hyperlink" Id="rId21" Target="https://plus.cq.com/vote/2024/H/28?12" TargetMode="External" /><Relationship Type="http://schemas.openxmlformats.org/officeDocument/2006/relationships/hyperlink" Id="rId22" Target="https://www.congress.gov/bill/118th-congress/house-bill/667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28.xml" TargetMode="External" /><Relationship Type="http://schemas.openxmlformats.org/officeDocument/2006/relationships/hyperlink" Id="rId21" Target="https://plus.cq.com/vote/2024/H/28?12" TargetMode="External" /><Relationship Type="http://schemas.openxmlformats.org/officeDocument/2006/relationships/hyperlink" Id="rId22" Target="https://www.congress.gov/bill/118th-congress/house-bill/667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