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un-violence-research"/>
    <w:p>
      <w:pPr>
        <w:pStyle w:val="Heading1"/>
      </w:pPr>
      <w:r>
        <w:t xml:space="preserve">Gun Violence Research</w:t>
      </w:r>
    </w:p>
    <w:p>
      <w:pPr>
        <w:pStyle w:val="FirstParagraph"/>
      </w:pPr>
      <w:r>
        <w:rPr>
          <w:bCs/>
          <w:b/>
        </w:rPr>
        <w:t xml:space="preserve">2019: Schweikert Voted Against The FY 2020 Minibus Appropriations Bill, Which Provided $25 Million for Gun Violence Research.</w:t>
      </w:r>
      <w:r>
        <w:t xml:space="preserve"> </w:t>
      </w:r>
      <w:r>
        <w:t xml:space="preserve">In December 2019, Schweikert voted against the FY 2020 minibus spending bill According to The Hill,</w:t>
      </w:r>
      <w:r>
        <w:t xml:space="preserve"> </w:t>
      </w:r>
      <w:r>
        <w:t xml:space="preserve">“</w:t>
      </w:r>
      <w:r>
        <w:t xml:space="preserve">federal agencies will receive $25 million from Congress to study gun violence […] The deal includes $12.5 million each for the Centers for Disease Control and Prevention (CDC) and National Institutes of Health to study gun violence and ways to prevent it.</w:t>
      </w:r>
      <w:r>
        <w:t xml:space="preserve">”</w:t>
      </w:r>
      <w:r>
        <w:t xml:space="preserve"> </w:t>
      </w:r>
      <w:r>
        <w:t xml:space="preserve">The vote was a motion to concur in the Senate amendment. The House agreed to the motion by a vote of 297-120. The Senate later passed the bill and 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Minibus Was The First Time In Over 20 Years That Congress Had Appropriated Money For Gun Violence Research.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It’s the first time in more than 20 years that Congress has appropriated money for gun violence research […] Congress stopped funding gun violence research in 1996 after an amendment passed blocking agencies from using federal funds to advocate for gun control […] While Democrats had tried for years to end the amendment, they shifted their strategy this year, pushing for $50 million in funding while leaving the amendment in place in an attempt to allay concerns that the money could be used inappropriately.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12/16/19</w:t>
        </w:r>
      </w:hyperlink>
      <w:r>
        <w:t xml:space="preserve">]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3" Target="https://thehill.com/policy/healthcare/474740-25m-set-aside-for-gun-violence-research-in-spending-agreement-in-win-for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3" Target="https://thehill.com/policy/healthcare/474740-25m-set-aside-for-gun-violence-research-in-spending-agreement-in-win-for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